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0E1" w:rsidRPr="000044F2" w:rsidRDefault="000044F2">
      <w:r>
        <w:rPr>
          <w:b/>
        </w:rPr>
        <w:t>The Passing of Protestant England: Secularisation and Social Change, c.1920-1960.</w:t>
      </w:r>
      <w:r>
        <w:t xml:space="preserve"> By S.J.D. Green (Cambridge: Cambridge University Press, 2011), pp.viii+333. </w:t>
      </w:r>
      <w:proofErr w:type="gramStart"/>
      <w:r>
        <w:t>AU$115.</w:t>
      </w:r>
      <w:proofErr w:type="gramEnd"/>
    </w:p>
    <w:p w:rsidR="00B4246A" w:rsidRPr="00B4246A" w:rsidRDefault="00B4246A">
      <w:r w:rsidRPr="00B4246A">
        <w:t xml:space="preserve">Secularisation </w:t>
      </w:r>
      <w:r>
        <w:t>discourse</w:t>
      </w:r>
      <w:r w:rsidRPr="00B4246A">
        <w:t xml:space="preserve"> is a veritable minefield</w:t>
      </w:r>
      <w:r>
        <w:t xml:space="preserve">. It has engaged big names – one has only to mention David Martin, Hugh McLeod and </w:t>
      </w:r>
      <w:proofErr w:type="spellStart"/>
      <w:r>
        <w:t>Callum</w:t>
      </w:r>
      <w:proofErr w:type="spellEnd"/>
      <w:r>
        <w:t xml:space="preserve"> Brown – and evoked a plenitude of th</w:t>
      </w:r>
      <w:r w:rsidR="00032A67">
        <w:t xml:space="preserve">eories: </w:t>
      </w:r>
      <w:r w:rsidR="00C524E2">
        <w:t>eg.</w:t>
      </w:r>
      <w:r w:rsidR="00032A67">
        <w:t xml:space="preserve"> </w:t>
      </w:r>
      <w:proofErr w:type="gramStart"/>
      <w:r w:rsidR="00032A67">
        <w:t>secularisation</w:t>
      </w:r>
      <w:proofErr w:type="gramEnd"/>
      <w:r w:rsidR="00032A67">
        <w:t xml:space="preserve">, anti-secularisation and post-secularisation. Simon Green’s way around the difficulties in each paradigm is to invoke “a conceptual eclecticism bound by a determined empirical </w:t>
      </w:r>
      <w:proofErr w:type="spellStart"/>
      <w:r w:rsidR="00032A67">
        <w:t>particularism</w:t>
      </w:r>
      <w:proofErr w:type="spellEnd"/>
      <w:r w:rsidR="00032A67">
        <w:t>”</w:t>
      </w:r>
      <w:r w:rsidR="00202443">
        <w:t>, in this case relating theory to “the very particular dynamics of denominational Christianity from which they began their work in the Britain of 1914, or thereabouts” (pp.23-24).</w:t>
      </w:r>
      <w:r>
        <w:t xml:space="preserve"> </w:t>
      </w:r>
      <w:r w:rsidR="00202443">
        <w:t xml:space="preserve"> He wants to reassert what seems axiomatic, but has been much ignored, the inextricable link between social, political, intellectual and religious history.  He is trying to rescue religious history from the marginalisation that has in fact come out of the process of secularisation itself.</w:t>
      </w:r>
    </w:p>
    <w:p w:rsidR="00250A73" w:rsidRDefault="000F227E">
      <w:r>
        <w:t>He brilliantly documents how the political importance of religion declined markedly after 1920, followed by the story of institutional decline of the churches (giving proper regard to sectarian and regional differences). A trifle indulgently, he devotes a chapter to rescuing Dean Inge as a serious thinker (I agree</w:t>
      </w:r>
      <w:r w:rsidR="008A2410">
        <w:t xml:space="preserve">, as argued in my </w:t>
      </w:r>
      <w:r w:rsidR="008A2410">
        <w:rPr>
          <w:i/>
        </w:rPr>
        <w:t>Darwin’s Coat-Tails</w:t>
      </w:r>
      <w:r w:rsidR="008A2410">
        <w:t>).</w:t>
      </w:r>
      <w:r w:rsidR="00E44DCD">
        <w:t xml:space="preserve"> </w:t>
      </w:r>
      <w:r w:rsidR="008A2410">
        <w:t>G</w:t>
      </w:r>
      <w:r w:rsidR="000A1188">
        <w:t>reen gives a careful analysis of the “puritan” (nonconformist) ethic, which</w:t>
      </w:r>
      <w:r w:rsidR="004D4B16">
        <w:t xml:space="preserve"> underpinned the Victorian nation and Empire. D</w:t>
      </w:r>
      <w:r w:rsidR="000A1188">
        <w:t xml:space="preserve">espite the bohemians of Bloomsbury and rationalists who ridiculed its “killjoy” aspects, </w:t>
      </w:r>
      <w:r w:rsidR="004D4B16">
        <w:t xml:space="preserve">it </w:t>
      </w:r>
      <w:r w:rsidR="000A1188">
        <w:t>showed surprising survival power up until at least the Second World War.</w:t>
      </w:r>
      <w:r w:rsidR="004D4B16">
        <w:t xml:space="preserve"> There was an underlying downward trend to religiosity up to 1960, a “seismic” movement in religious culture after 1918, but the graph was erratic. Churches had their revivals as well as decay</w:t>
      </w:r>
      <w:r w:rsidR="007B46A0">
        <w:t xml:space="preserve">, ecumenism as well as sectarianism, migrations between sects, </w:t>
      </w:r>
      <w:proofErr w:type="spellStart"/>
      <w:r w:rsidR="007B46A0">
        <w:t>morphings</w:t>
      </w:r>
      <w:proofErr w:type="spellEnd"/>
      <w:r w:rsidR="007B46A0">
        <w:t xml:space="preserve"> into more exotic spiritualisms, </w:t>
      </w:r>
      <w:proofErr w:type="spellStart"/>
      <w:r w:rsidR="007B46A0">
        <w:t>resiliences</w:t>
      </w:r>
      <w:proofErr w:type="spellEnd"/>
      <w:r w:rsidR="007B46A0">
        <w:t xml:space="preserve"> and flexibilities. Green documents an overall falling away from orthodox adherence and doctrine, a loss of knowledge about faith (the decline of Sunday schools was a key factor here)</w:t>
      </w:r>
      <w:r w:rsidR="00F47FB8">
        <w:t>, especially as taboos weakened on sex, drink, gambling and Sunday observance, and secular amusements such as the cinema and sport proliferated. The war sped up change (if in complex ways). Green makes the interesting point that the black market legitimised dishonesty among the citizenry much more than “any real or imagined outbreak in collective libidinousness ever did” (p.176).</w:t>
      </w:r>
    </w:p>
    <w:p w:rsidR="000044F2" w:rsidRDefault="003229CE">
      <w:r>
        <w:t xml:space="preserve"> He is illuminating on the broader social and cultural changes “that forged within a generation a very different country in which an erstwhile, common Puritanism was increasingly confined to the wider Celtic shores and the madder conceits of utopian radicals” (p.179). </w:t>
      </w:r>
      <w:r w:rsidR="00CF7C00">
        <w:t xml:space="preserve">Green’s </w:t>
      </w:r>
      <w:r w:rsidR="00C524E2">
        <w:t>judgment</w:t>
      </w:r>
      <w:r w:rsidR="00CF7C00">
        <w:t xml:space="preserve"> is that religion was virtually dead by 1960. He contends against older views that it declined from (variously) the Enlightenment, the Industrial Revolution or </w:t>
      </w:r>
      <w:r w:rsidR="002F50CB">
        <w:t xml:space="preserve">during </w:t>
      </w:r>
      <w:r w:rsidR="00CF7C00">
        <w:t>The Great War</w:t>
      </w:r>
      <w:r w:rsidR="00C524E2">
        <w:t>;</w:t>
      </w:r>
      <w:r w:rsidR="00CF7C00">
        <w:t xml:space="preserve"> but also against </w:t>
      </w:r>
      <w:proofErr w:type="spellStart"/>
      <w:r w:rsidR="00CF7C00">
        <w:t>Callum</w:t>
      </w:r>
      <w:proofErr w:type="spellEnd"/>
      <w:r w:rsidR="00CF7C00">
        <w:t xml:space="preserve"> Brown’s influential assertion that the turning point was in the permissive 1960s</w:t>
      </w:r>
      <w:r w:rsidR="000044F2">
        <w:t xml:space="preserve">, </w:t>
      </w:r>
      <w:r w:rsidR="00CF7C00">
        <w:t>a</w:t>
      </w:r>
      <w:r w:rsidR="000044F2">
        <w:t>fter revivals in the 40s and 50s</w:t>
      </w:r>
      <w:r w:rsidR="00CF7C00">
        <w:t>.</w:t>
      </w:r>
      <w:r w:rsidR="00250A73">
        <w:t xml:space="preserve"> </w:t>
      </w:r>
      <w:r w:rsidR="000044F2">
        <w:t>On this matter, it seems, Green has trumped Brown.</w:t>
      </w:r>
    </w:p>
    <w:p w:rsidR="00CF7C00" w:rsidRDefault="00250A73">
      <w:r>
        <w:t xml:space="preserve">Green weaves a fascinating narrative, bolstering his </w:t>
      </w:r>
      <w:r w:rsidR="000044F2">
        <w:t>brief</w:t>
      </w:r>
      <w:r>
        <w:t xml:space="preserve"> with a staggering number of telling case-studies, in the later years including </w:t>
      </w:r>
      <w:proofErr w:type="spellStart"/>
      <w:r>
        <w:t>Seebohm</w:t>
      </w:r>
      <w:proofErr w:type="spellEnd"/>
      <w:r>
        <w:t xml:space="preserve"> </w:t>
      </w:r>
      <w:proofErr w:type="spellStart"/>
      <w:r>
        <w:t>Rowntree’s</w:t>
      </w:r>
      <w:proofErr w:type="spellEnd"/>
      <w:r>
        <w:t xml:space="preserve">  </w:t>
      </w:r>
      <w:r>
        <w:rPr>
          <w:i/>
        </w:rPr>
        <w:t>English Life and Leisure</w:t>
      </w:r>
      <w:r>
        <w:t xml:space="preserve"> (1951), the 1944 Education Act, the debates of the fifties</w:t>
      </w:r>
      <w:r w:rsidR="002F50CB">
        <w:t xml:space="preserve"> and early sixties</w:t>
      </w:r>
      <w:r>
        <w:t>,</w:t>
      </w:r>
      <w:r w:rsidR="00E44DCD">
        <w:t xml:space="preserve"> the changing role of women,</w:t>
      </w:r>
      <w:r>
        <w:t xml:space="preserve"> sociological models,</w:t>
      </w:r>
      <w:r w:rsidR="00E44DCD">
        <w:t xml:space="preserve"> and</w:t>
      </w:r>
      <w:r>
        <w:t xml:space="preserve"> “contemporary visions of revival [that] proved to be brief delusions” (p.271).</w:t>
      </w:r>
      <w:r w:rsidR="000044F2">
        <w:t xml:space="preserve"> </w:t>
      </w:r>
      <w:r w:rsidR="00CF7C00">
        <w:t xml:space="preserve">This is a rich, scholarly book, incorporating a lifetime’s work. It focuses unrepentantly on England and thus lacks some of the subtle comparative perspectives that one finds in David Martin’s recent writing. </w:t>
      </w:r>
      <w:r w:rsidR="006125C4">
        <w:t xml:space="preserve">And there is at times a touch of overkill. It is nevertheless instructive reading for those who would </w:t>
      </w:r>
      <w:r w:rsidR="006125C4">
        <w:lastRenderedPageBreak/>
        <w:t>like to find reasons for the moral turpitude that marks recent English history, from Iraq to the City of London crash.</w:t>
      </w:r>
    </w:p>
    <w:p w:rsidR="00CF7C00" w:rsidRDefault="00C524E2">
      <w:r>
        <w:t>Paul Crook</w:t>
      </w:r>
    </w:p>
    <w:p w:rsidR="00C524E2" w:rsidRDefault="00C524E2">
      <w:r>
        <w:t>University of Queensland</w:t>
      </w:r>
    </w:p>
    <w:p w:rsidR="00CF7C00" w:rsidRPr="000A1188" w:rsidRDefault="00CF7C00"/>
    <w:sectPr w:rsidR="00CF7C00" w:rsidRPr="000A1188" w:rsidSect="007B70E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520B6"/>
    <w:rsid w:val="000044F2"/>
    <w:rsid w:val="00032A67"/>
    <w:rsid w:val="000A1188"/>
    <w:rsid w:val="000F227E"/>
    <w:rsid w:val="00202443"/>
    <w:rsid w:val="00250A73"/>
    <w:rsid w:val="002F50CB"/>
    <w:rsid w:val="003229CE"/>
    <w:rsid w:val="004D4B16"/>
    <w:rsid w:val="006125C4"/>
    <w:rsid w:val="006D5EEF"/>
    <w:rsid w:val="007B46A0"/>
    <w:rsid w:val="007B70E1"/>
    <w:rsid w:val="007D30D6"/>
    <w:rsid w:val="00814EEF"/>
    <w:rsid w:val="00871921"/>
    <w:rsid w:val="008A2410"/>
    <w:rsid w:val="00986F77"/>
    <w:rsid w:val="00B4246A"/>
    <w:rsid w:val="00B520B6"/>
    <w:rsid w:val="00B54DB7"/>
    <w:rsid w:val="00B61CAC"/>
    <w:rsid w:val="00C524E2"/>
    <w:rsid w:val="00CD3855"/>
    <w:rsid w:val="00CE6677"/>
    <w:rsid w:val="00CF7C00"/>
    <w:rsid w:val="00DC02BD"/>
    <w:rsid w:val="00E44DCD"/>
    <w:rsid w:val="00F47FB8"/>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70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216</TotalTime>
  <Pages>2</Pages>
  <Words>606</Words>
  <Characters>3457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12</cp:revision>
  <cp:lastPrinted>2012-03-18T03:46:00Z</cp:lastPrinted>
  <dcterms:created xsi:type="dcterms:W3CDTF">2012-03-18T02:48:00Z</dcterms:created>
  <dcterms:modified xsi:type="dcterms:W3CDTF">2012-03-20T04:33:00Z</dcterms:modified>
</cp:coreProperties>
</file>