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453C" w:rsidRDefault="00671562" w:rsidP="00573FA0">
      <w:pPr>
        <w:jc w:val="center"/>
        <w:rPr>
          <w:b/>
        </w:rPr>
      </w:pPr>
      <w:bookmarkStart w:id="0" w:name="_GoBack"/>
      <w:bookmarkEnd w:id="0"/>
      <w:r w:rsidRPr="00573FA0">
        <w:rPr>
          <w:b/>
        </w:rPr>
        <w:t>Lionel Curtis</w:t>
      </w:r>
      <w:r w:rsidR="008871DE">
        <w:rPr>
          <w:b/>
        </w:rPr>
        <w:t>: The Commonwealth of God</w:t>
      </w:r>
    </w:p>
    <w:p w:rsidR="00573FA0" w:rsidRDefault="00573FA0" w:rsidP="00573FA0">
      <w:r>
        <w:t>Lionel Curtis spent much of his life arguing for world government as the solution to humanity’s abiding problems such as war and violence. We can find in his writings a foundation for such supranational government in religious values. In this he was applying values that he had inherited from his background.</w:t>
      </w:r>
    </w:p>
    <w:p w:rsidR="00573FA0" w:rsidRDefault="00573FA0" w:rsidP="00573FA0">
      <w:pPr>
        <w:rPr>
          <w:b/>
        </w:rPr>
      </w:pPr>
      <w:r>
        <w:rPr>
          <w:b/>
        </w:rPr>
        <w:t>Brief Life:</w:t>
      </w:r>
    </w:p>
    <w:p w:rsidR="00573FA0" w:rsidRDefault="00EF4DDF" w:rsidP="00573FA0">
      <w:r>
        <w:t xml:space="preserve">Lionel </w:t>
      </w:r>
      <w:r w:rsidR="00573FA0">
        <w:t xml:space="preserve">Curtis </w:t>
      </w:r>
      <w:r>
        <w:t>(1872-1955)</w:t>
      </w:r>
      <w:r w:rsidR="005F74B4">
        <w:t xml:space="preserve"> </w:t>
      </w:r>
      <w:r w:rsidR="00573FA0">
        <w:t xml:space="preserve">was an influential British public servant, a “mandarin” in the colonial service, associated with attempts to set up Imperial </w:t>
      </w:r>
      <w:r w:rsidR="00001EBE">
        <w:t>F</w:t>
      </w:r>
      <w:r w:rsidR="00573FA0">
        <w:t xml:space="preserve">ederation and the founder of the international affairs </w:t>
      </w:r>
      <w:r w:rsidR="00001EBE">
        <w:t xml:space="preserve">group and </w:t>
      </w:r>
      <w:r w:rsidR="00573FA0">
        <w:t xml:space="preserve">journal </w:t>
      </w:r>
      <w:r w:rsidR="00573FA0">
        <w:rPr>
          <w:i/>
        </w:rPr>
        <w:t>Round Table</w:t>
      </w:r>
      <w:r w:rsidR="00573FA0">
        <w:t>.</w:t>
      </w:r>
      <w:r>
        <w:t xml:space="preserve"> He was born in Derby, England. We might note that he came from a strongly evangelical Christian family. His father was rector of </w:t>
      </w:r>
      <w:proofErr w:type="spellStart"/>
      <w:r>
        <w:t>Coddington</w:t>
      </w:r>
      <w:proofErr w:type="spellEnd"/>
      <w:r>
        <w:t xml:space="preserve"> church, </w:t>
      </w:r>
      <w:proofErr w:type="spellStart"/>
      <w:r>
        <w:t>Ledbury</w:t>
      </w:r>
      <w:proofErr w:type="spellEnd"/>
      <w:r>
        <w:t xml:space="preserve"> and his mother was a clergyman’s daughter. As the Oxford DNB says, he came to question the literal Biblical beliefs of his parents, but he inherited their evangelical fervour and conviction that distinctions between religion and politics were false.</w:t>
      </w:r>
      <w:r w:rsidR="005F74B4">
        <w:rPr>
          <w:rStyle w:val="FootnoteReference"/>
        </w:rPr>
        <w:footnoteReference w:id="1"/>
      </w:r>
      <w:r>
        <w:t xml:space="preserve"> Curtis agued this in his many writings, and it underlay his faith in the possibility of a greater British empire, and his later espousal of ideas that seem to foreshadow the U</w:t>
      </w:r>
      <w:r w:rsidR="00001EBE">
        <w:t xml:space="preserve">nited </w:t>
      </w:r>
      <w:r>
        <w:t>N</w:t>
      </w:r>
      <w:r w:rsidR="00001EBE">
        <w:t>ations</w:t>
      </w:r>
      <w:r>
        <w:t>, the E</w:t>
      </w:r>
      <w:r w:rsidR="00001EBE">
        <w:t xml:space="preserve">uropean </w:t>
      </w:r>
      <w:r>
        <w:t>U</w:t>
      </w:r>
      <w:r w:rsidR="00001EBE">
        <w:t>nion,</w:t>
      </w:r>
      <w:r>
        <w:t xml:space="preserve"> and H. G. </w:t>
      </w:r>
      <w:proofErr w:type="spellStart"/>
      <w:r>
        <w:t>Wells’s</w:t>
      </w:r>
      <w:proofErr w:type="spellEnd"/>
      <w:r>
        <w:t xml:space="preserve"> world government.</w:t>
      </w:r>
    </w:p>
    <w:p w:rsidR="000E004A" w:rsidRDefault="00001EBE" w:rsidP="00573FA0">
      <w:r>
        <w:t>Curtis</w:t>
      </w:r>
      <w:r w:rsidR="00EF4DDF">
        <w:t xml:space="preserve"> was educated at </w:t>
      </w:r>
      <w:proofErr w:type="spellStart"/>
      <w:r w:rsidR="00EF4DDF">
        <w:t>Haileybury</w:t>
      </w:r>
      <w:proofErr w:type="spellEnd"/>
      <w:r w:rsidR="00EF4DDF">
        <w:t xml:space="preserve"> College (something of a training ground for colonial administrators)</w:t>
      </w:r>
      <w:r w:rsidR="008B1D2A">
        <w:t xml:space="preserve"> and then New College, Oxford where he had an undistinguished career, a third in classics. You would not have put money on him having a glittering career. Like quite a few intellectuals and upper middle class people in the late nineteenth century he took an interest in the plight of the poor. (It </w:t>
      </w:r>
      <w:proofErr w:type="gramStart"/>
      <w:r w:rsidR="008B1D2A">
        <w:t>became</w:t>
      </w:r>
      <w:proofErr w:type="gramEnd"/>
      <w:r w:rsidR="008B1D2A">
        <w:t xml:space="preserve"> almost a fashion for upper class people to take a tour of destitute slums such as those of London’</w:t>
      </w:r>
      <w:r w:rsidR="000E004A">
        <w:t>s</w:t>
      </w:r>
      <w:r w:rsidR="008B1D2A">
        <w:t xml:space="preserve"> East End at this time. Bernard Shaw lampooned such patrician philanthropy). Curtis read the Christian philosopher F. D. Maurice and even spent two vacations from Oxford on walking trips dressed as a tramp. </w:t>
      </w:r>
      <w:proofErr w:type="gramStart"/>
      <w:r w:rsidR="008B1D2A">
        <w:t xml:space="preserve">(George Orwell was to do </w:t>
      </w:r>
      <w:r>
        <w:t xml:space="preserve">much </w:t>
      </w:r>
      <w:r w:rsidR="008B1D2A">
        <w:t>the</w:t>
      </w:r>
      <w:r w:rsidR="00737F94">
        <w:t xml:space="preserve"> same thing </w:t>
      </w:r>
      <w:r w:rsidR="000E004A">
        <w:t>for</w:t>
      </w:r>
      <w:r w:rsidR="00737F94">
        <w:t xml:space="preserve"> his 1937 book </w:t>
      </w:r>
      <w:r w:rsidR="00737F94">
        <w:rPr>
          <w:i/>
        </w:rPr>
        <w:t>The Road to Wigan Pier</w:t>
      </w:r>
      <w:r w:rsidR="00737F94">
        <w:t>).</w:t>
      </w:r>
      <w:proofErr w:type="gramEnd"/>
      <w:r w:rsidR="008B1D2A">
        <w:t xml:space="preserve"> </w:t>
      </w:r>
      <w:r>
        <w:t>Curtis</w:t>
      </w:r>
      <w:r w:rsidR="000E004A">
        <w:t xml:space="preserve"> was influenced in this respect by the social reformers Octavia Hill and Canon Barnett.</w:t>
      </w:r>
    </w:p>
    <w:p w:rsidR="00EF4DDF" w:rsidRDefault="000E004A" w:rsidP="00573FA0">
      <w:r>
        <w:t>Curtis became a barrister in Inner Temple, London (1902) and private secretary to Lord Welby, vice-chairman of the London county council. Thus he built up contacts, and especially from his days in Oxford, which, after a stint as a volunteer in the Boer War in South Africa, gave him excellent credentials to become one of “Milner’s Kindergarten”</w:t>
      </w:r>
      <w:r w:rsidR="00584580">
        <w:t xml:space="preserve">, young Oxford men </w:t>
      </w:r>
      <w:r w:rsidR="00B906E0">
        <w:t>recruited by</w:t>
      </w:r>
      <w:r w:rsidR="00584580">
        <w:t xml:space="preserve"> </w:t>
      </w:r>
      <w:r w:rsidR="00001EBE">
        <w:t xml:space="preserve">Lord </w:t>
      </w:r>
      <w:proofErr w:type="gramStart"/>
      <w:r w:rsidR="00584580">
        <w:t>Milner  to</w:t>
      </w:r>
      <w:proofErr w:type="gramEnd"/>
      <w:r w:rsidR="00584580">
        <w:t xml:space="preserve"> work with him as administrators</w:t>
      </w:r>
      <w:r>
        <w:t xml:space="preserve">.  Milner was a famous “pro-consul”, a very high grade English colonial administrator.  </w:t>
      </w:r>
      <w:r w:rsidR="00001EBE">
        <w:t>He</w:t>
      </w:r>
      <w:r>
        <w:t xml:space="preserve"> took a leading part in helping to reconstruct the South African colonies after the Boer War. Curtis became Milner’s assistant imperial secretary. He was given broad responsibilities at a young age. As DNB comments, despite an abrasive personality (he was </w:t>
      </w:r>
      <w:r w:rsidR="00B906E0">
        <w:t>cockily</w:t>
      </w:r>
      <w:r>
        <w:t xml:space="preserve"> self-confident and strong willed and used to getting his own way),</w:t>
      </w:r>
      <w:r w:rsidR="00584580">
        <w:t xml:space="preserve"> his efficiency and hard work won him many admirers. He became assistant colonial secretary for the Transvaal.</w:t>
      </w:r>
      <w:r w:rsidR="008B1D2A">
        <w:t xml:space="preserve"> </w:t>
      </w:r>
      <w:r w:rsidR="00584580">
        <w:t xml:space="preserve">There his “White South Africa” policy brought him into conflict with the young Mahatma Gandhi (this was the beginning of Gandhi’s career). Curtis’s later plans almost always had the key controlling role going to the white British, the white dominions and the Americans (although he generously permitted other “advanced” states such as </w:t>
      </w:r>
      <w:r w:rsidR="00001EBE">
        <w:t>Holland, Belgium or Sweden</w:t>
      </w:r>
      <w:r w:rsidR="00584580">
        <w:t xml:space="preserve"> in Europe, even the Indians after they had demonstrated their capacity for independence, into the charmed circle when it suited him).</w:t>
      </w:r>
    </w:p>
    <w:p w:rsidR="00584580" w:rsidRDefault="00B906E0" w:rsidP="00573FA0">
      <w:r>
        <w:lastRenderedPageBreak/>
        <w:t>Curtis was prominent in the drive to unify South Africa into one colonial state, becoming a member of the Transvaal Upper House, editing journals, helping to set up and then have approved by London a South African constitution (The South African Union was proclaimed in 1910).</w:t>
      </w:r>
    </w:p>
    <w:p w:rsidR="00D3224E" w:rsidRDefault="00D3224E" w:rsidP="00573FA0">
      <w:r>
        <w:t xml:space="preserve">Milner and Curtis organised a group called the Round Table (the core being Milner’s Kindergarten, including people like Leo Amery and Lord Robert Cecil) which aimed basically at Imperial Federation, where the British Empire would become a sort of self-governing federation. The self-governing colonies would cede most of their powers to a controlling Parliament based in London and including the UK, with elected representatives from each country responsible for overall governing, including foreign policy. It never really got off the ground because the dominions were never ready to cede their powers to a body based in London, but the aims were in many respects idealistic. Such a body would </w:t>
      </w:r>
      <w:r w:rsidR="00001EBE">
        <w:t xml:space="preserve">supposedly </w:t>
      </w:r>
      <w:r>
        <w:t xml:space="preserve">prevent the break-up of the empire and would provide security for hundreds of millions of diverse peoples. This, it was hoped, would set such an example to the world, that it would almost ensure world peace, the federation acting as one of the largest power blocs in the world in its own right and thus able to exert crucial pressure on warlike nations (like Germany) </w:t>
      </w:r>
      <w:r w:rsidR="003D6291">
        <w:t>not to make war.</w:t>
      </w:r>
    </w:p>
    <w:p w:rsidR="003D6291" w:rsidRDefault="003D6291" w:rsidP="00573FA0">
      <w:r>
        <w:t xml:space="preserve">To cut the story short, Curtis spent much of the rest of his life fighting for this ideal, or something similar. He relentlessly agitated, proselytised, recruited colonial politicians, </w:t>
      </w:r>
      <w:proofErr w:type="gramStart"/>
      <w:r w:rsidR="00001EBE">
        <w:t>did</w:t>
      </w:r>
      <w:proofErr w:type="gramEnd"/>
      <w:r w:rsidR="00001EBE">
        <w:t xml:space="preserve"> a lot of back-room politicking</w:t>
      </w:r>
      <w:r w:rsidR="00CB1892">
        <w:t xml:space="preserve">, </w:t>
      </w:r>
      <w:r>
        <w:t>set up committees and think tanks and visited numerous countries for the cause. His Round Table groups made an impact (not least encouraging the study of international affairs in universities in places like Australia)</w:t>
      </w:r>
      <w:r w:rsidR="00CB1892">
        <w:t>,</w:t>
      </w:r>
      <w:r>
        <w:t xml:space="preserve"> but increasingly they became split about Curtis’s projects and controlling personality</w:t>
      </w:r>
      <w:r w:rsidR="00A36226">
        <w:rPr>
          <w:rStyle w:val="FootnoteReference"/>
        </w:rPr>
        <w:footnoteReference w:id="2"/>
      </w:r>
      <w:r>
        <w:t xml:space="preserve">. Should the imperial government have the power of direct taxation? Should India and other “dependencies” (not yet self-governing) be ruled by the dominions as well as Britain? Such issues were divisive. Curtis planned and wrote </w:t>
      </w:r>
      <w:r w:rsidR="00A36226">
        <w:t>(slowly) great volumes on the imperial problem, which of course came up sharply at the end of the First World War. He argued that imperial federation would probably have prevented the Great War (a controversial view).</w:t>
      </w:r>
    </w:p>
    <w:p w:rsidR="00A36226" w:rsidRDefault="00A36226" w:rsidP="00573FA0">
      <w:r>
        <w:t xml:space="preserve">Much of his energy from 1916 was devoted to the problem of Indian independence. Campaigns for independence were already strong, with leaders like Gandhi and Nehru. Curtis contributed the idea of “diarchy”, whereby responsibility for certain areas could be gradually transferred from British-controlled provincial administration to a parallel, Indian-controlled one (Oxford DNB – implemented in the India Act of 1919). </w:t>
      </w:r>
      <w:r w:rsidR="00C00AB9">
        <w:t xml:space="preserve">He also argued for a system of trusteeships or mandates set up by the League of Nations (he was on the UK delegation at the Paris peace conference). He helped set up the Royal Institute of International Affairs in 1919, and persuaded a sponsor to buy its famous centre Chatham House in St James Square for the Institute. From a fellowship at Oxford he subsequently involved himself in Commonwealth relations, issues in the Far East and Africa. In works such as </w:t>
      </w:r>
      <w:proofErr w:type="spellStart"/>
      <w:r w:rsidR="00C00AB9">
        <w:rPr>
          <w:i/>
        </w:rPr>
        <w:t>Civitas</w:t>
      </w:r>
      <w:proofErr w:type="spellEnd"/>
      <w:r w:rsidR="00C00AB9">
        <w:rPr>
          <w:i/>
        </w:rPr>
        <w:t xml:space="preserve"> Dei</w:t>
      </w:r>
      <w:r w:rsidR="00C00AB9">
        <w:t xml:space="preserve"> (3 </w:t>
      </w:r>
      <w:proofErr w:type="spellStart"/>
      <w:r w:rsidR="00C00AB9">
        <w:t>vols</w:t>
      </w:r>
      <w:proofErr w:type="spellEnd"/>
      <w:r w:rsidR="00C00AB9">
        <w:t>, 1934-</w:t>
      </w:r>
      <w:r w:rsidR="00CB1892">
        <w:t>38</w:t>
      </w:r>
      <w:r w:rsidR="00C00AB9">
        <w:t xml:space="preserve">) he promoted his ideas on commonwealth from the Greeks onwards with much attention to Christian history. As Oxford DNB says: “His assertion that he saw the hand of God in the British </w:t>
      </w:r>
      <w:proofErr w:type="gramStart"/>
      <w:r w:rsidR="00C00AB9">
        <w:t>empire</w:t>
      </w:r>
      <w:proofErr w:type="gramEnd"/>
      <w:r w:rsidR="00C00AB9">
        <w:t xml:space="preserve"> was derided by more sceptical colleagues</w:t>
      </w:r>
      <w:r w:rsidR="005F74B4">
        <w:t>...but it was well received, especially in liberal Anglican circles”. As time went on, he broadened his vision to include the idea of a union of western democracies and their empires. Let’s remember that such ideas were not new, having been espoused by writers such as Kipling and Wells.  After World War 2 he advocated union between the British Commonwealth,</w:t>
      </w:r>
      <w:r w:rsidR="00CB1892">
        <w:t xml:space="preserve"> </w:t>
      </w:r>
      <w:r w:rsidR="005F74B4">
        <w:t xml:space="preserve">western democracies and the United States.  In order to put his religious </w:t>
      </w:r>
      <w:r w:rsidR="005F74B4">
        <w:lastRenderedPageBreak/>
        <w:t>ideas into the context of his world government ideas, let us look briefly at some of the concepts he put forward in his 193</w:t>
      </w:r>
      <w:r w:rsidR="00096869">
        <w:t>8</w:t>
      </w:r>
      <w:r w:rsidR="005F74B4">
        <w:t xml:space="preserve"> volume of the </w:t>
      </w:r>
      <w:proofErr w:type="spellStart"/>
      <w:r w:rsidR="005F74B4">
        <w:rPr>
          <w:i/>
        </w:rPr>
        <w:t>Civitas</w:t>
      </w:r>
      <w:proofErr w:type="spellEnd"/>
      <w:r w:rsidR="005F74B4">
        <w:rPr>
          <w:i/>
        </w:rPr>
        <w:t xml:space="preserve"> Dei</w:t>
      </w:r>
      <w:r w:rsidR="005F74B4">
        <w:t>.</w:t>
      </w:r>
    </w:p>
    <w:p w:rsidR="005F74B4" w:rsidRDefault="005F74B4" w:rsidP="00573FA0">
      <w:r>
        <w:rPr>
          <w:b/>
        </w:rPr>
        <w:t>The Commonwealth of God:</w:t>
      </w:r>
    </w:p>
    <w:p w:rsidR="005F74B4" w:rsidRDefault="00096869" w:rsidP="00573FA0">
      <w:r>
        <w:t>This was the title of his 1938 volume.</w:t>
      </w:r>
      <w:r>
        <w:rPr>
          <w:rStyle w:val="FootnoteReference"/>
        </w:rPr>
        <w:footnoteReference w:id="3"/>
      </w:r>
      <w:r>
        <w:t xml:space="preserve"> His historical argument was that two things had led the followers of Christ to adopt what was basically an unrealistic view of life. These things were</w:t>
      </w:r>
      <w:r w:rsidR="007B0212">
        <w:t>:</w:t>
      </w:r>
      <w:r>
        <w:t xml:space="preserve"> (1)</w:t>
      </w:r>
      <w:r w:rsidR="007B0212">
        <w:t xml:space="preserve"> </w:t>
      </w:r>
      <w:r>
        <w:t>the expectation of Christ’s imminent return and the creation of God’s perfect kingdom</w:t>
      </w:r>
      <w:r w:rsidR="007B0212">
        <w:t>; and (2) the expectation of an impending Apocalypse which would destroy this world. Such expectations discouraged realistic thinking about the future governance of the world.</w:t>
      </w:r>
    </w:p>
    <w:p w:rsidR="007B0212" w:rsidRDefault="007B0212" w:rsidP="00573FA0">
      <w:r>
        <w:t xml:space="preserve">As Curtis saw it, Christ had lived in a violent age, during a clash of civilisations. The Jews prophesied that the Messiah would vanquish the hated Romans and set up a Jewish kingdom. Jesus wanted to divert their attention from this violent and visionary project “to realities as he saw them”.  To him the final reality “was the spirit of goodness personified – God, conceived as a Father possessed with desire to perfect </w:t>
      </w:r>
      <w:r w:rsidR="0093581C">
        <w:t xml:space="preserve">the children he had made in his likeness and not as a despot absorbed in the thought of his own glory and power”.  He wanted a society based on morality, goodness, a creative instinct that was incarnate (imperfectly) in humanity. This should be the principle of Christian life, the Christian society, something capable of growth and adaptation. Humans should serve each other, not themselves: “To develop the best in themselves they must strive to create a system based on realities, a divine polity, as the work of their own hands. [Christ’s] view of life was the outcome of faith that the ultimate reality was mind, not matter; that mind was eternal. </w:t>
      </w:r>
      <w:proofErr w:type="gramStart"/>
      <w:r w:rsidR="0093581C">
        <w:t>So also was its work of creation in which men could share in communion with God” (pp.281-282).</w:t>
      </w:r>
      <w:proofErr w:type="gramEnd"/>
    </w:p>
    <w:p w:rsidR="00405B64" w:rsidRDefault="00405B64" w:rsidP="00573FA0">
      <w:r>
        <w:t xml:space="preserve">However the idea that Jesus would soon return to earth clothed with the power of God had the unfortunate effect of causing a sense of unreality in Christian thought. In Curtis’s words it produced in the course of ages a “pantheon of idols” which dominated civilisation: “The notion of church and state, of two authorities competing for sovereignty, is among them and has led us to seclude religion and politics in separate compartments of our minds. In the teaching of Jesus there is no such distinction. To his mind religion and politics were merely two aspects of life, a sphere viewed from two different angles. He believed that men could grow to perfection in so far as they based their relations on the infinite duty of each to all. This supreme conception could only be realised by gradual developments such as we, in our language, would describe as political”. </w:t>
      </w:r>
    </w:p>
    <w:p w:rsidR="00405B64" w:rsidRDefault="00405B64" w:rsidP="00573FA0">
      <w:r>
        <w:t>The other problem was that for more than eighteen centuries “Christendom held the belief, crystallised in the writings of St. Augustine, that the life men live on this earth is destined to end in a sudden cataclysm which may be expected at any moment</w:t>
      </w:r>
      <w:r w:rsidR="00865977">
        <w:t xml:space="preserve">. A belief held for a period like this </w:t>
      </w:r>
      <w:proofErr w:type="gramStart"/>
      <w:r w:rsidR="00865977">
        <w:t>creates  unconscious</w:t>
      </w:r>
      <w:proofErr w:type="gramEnd"/>
      <w:r w:rsidR="00865977">
        <w:t xml:space="preserve"> habits of mind which determine the conduct of generations which no longer accept it. To this can be traced a political outlook which is short in its range and narrow in scope, which envisages little beyond the immediate interests of national groups. It explains why Christendom has failed to realise its supernational aspirations. No society can learn to think of itself as a whole which does not believe in its own future. Still less can it realise its own capacity for improvement and the structure it ought to attain, and so work on a plan. The growing confusion of the world is due to this failure and will only be ended by those who face the question where it is going or ought to go” </w:t>
      </w:r>
      <w:r w:rsidR="00865977">
        <w:lastRenderedPageBreak/>
        <w:t xml:space="preserve">(pp.283-284). Curtis cast himself in the role of the enlightened statesman who faced up to such questions and had a plan. </w:t>
      </w:r>
      <w:r w:rsidR="0091116E">
        <w:t>His intense activities in his various causes can thus be traced back, at one level anyway, to his evangelical upbringing and to his theological analysis of Christian history, however amateur and problematic.</w:t>
      </w:r>
    </w:p>
    <w:p w:rsidR="00C71187" w:rsidRDefault="00C71187" w:rsidP="00573FA0">
      <w:r>
        <w:t>Science, according to Curtis, provided compelling evidence that the earth had an enormously long future ahead of it</w:t>
      </w:r>
      <w:r w:rsidR="00AC6423">
        <w:rPr>
          <w:rStyle w:val="FootnoteReference"/>
        </w:rPr>
        <w:footnoteReference w:id="4"/>
      </w:r>
      <w:r w:rsidR="00DD0EEC">
        <w:t>.</w:t>
      </w:r>
      <w:r>
        <w:t>Christians should thus junk their old concepts of Christ’s immediate return and the Apocalypse. They should plan scientifically and realistically for world government and world peace. Once accept that a world commonwealth is the goal of human endeavour, “we shall find our minds are equipped with a standard which helps us to judge what ought to be done in the politics of a village no less than in the politics of the greater world”.  The world commonwealth ideal should be the test by which measures are judged</w:t>
      </w:r>
      <w:proofErr w:type="gramStart"/>
      <w:r>
        <w:t>:</w:t>
      </w:r>
      <w:r w:rsidR="00DD0EEC">
        <w:t xml:space="preserve"> </w:t>
      </w:r>
      <w:r>
        <w:t>”</w:t>
      </w:r>
      <w:proofErr w:type="gramEnd"/>
      <w:r>
        <w:t>In so far as that test is satisfied, economic and political problems will begin to find unexpected answers”.</w:t>
      </w:r>
      <w:r w:rsidR="008F4926">
        <w:t xml:space="preserve"> On the crucial issue of avoidance of war – a very ominous issue as Curtis was writing only a year or so before the outbreak of the Second World War </w:t>
      </w:r>
      <w:proofErr w:type="gramStart"/>
      <w:r w:rsidR="008F4926">
        <w:t xml:space="preserve">– </w:t>
      </w:r>
      <w:r w:rsidR="00CB1892">
        <w:t xml:space="preserve"> </w:t>
      </w:r>
      <w:r w:rsidR="008F4926">
        <w:t>he</w:t>
      </w:r>
      <w:proofErr w:type="gramEnd"/>
      <w:r w:rsidR="008F4926">
        <w:t xml:space="preserve"> attacked those who merely advocated the minimalist and negative policy of war-avoidance. Using Christ’s example he said: don’t have codes of “thou shalt not” but positive and life-asserting codes of “thou shalt”.  It would not suffice for nations to abstain from coercing each other by force:</w:t>
      </w:r>
      <w:r w:rsidR="00DD0EEC">
        <w:t xml:space="preserve"> </w:t>
      </w:r>
      <w:proofErr w:type="gramStart"/>
      <w:r w:rsidR="00DD0EEC">
        <w:t>“</w:t>
      </w:r>
      <w:r w:rsidR="008F4926">
        <w:t xml:space="preserve"> They</w:t>
      </w:r>
      <w:proofErr w:type="gramEnd"/>
      <w:r w:rsidR="008F4926">
        <w:t xml:space="preserve"> must learn to think how by steps slow but patient and persistent, they can bring into being an order of society based on the duty of each to all, irrespective of national limits… Man can attain peace, but only be learning to aim at an end which is greater than peace”.</w:t>
      </w:r>
      <w:r w:rsidR="00D914BB">
        <w:t xml:space="preserve"> Even if it could not be proved</w:t>
      </w:r>
      <w:r w:rsidR="00DD0EEC">
        <w:t>,</w:t>
      </w:r>
      <w:r w:rsidR="00D914BB">
        <w:t xml:space="preserve"> spiritual values were the ultimate reality for Curtis: “In the search for truth the limits of human knowledge must be recognised.</w:t>
      </w:r>
      <w:r w:rsidR="008F4926">
        <w:t xml:space="preserve"> </w:t>
      </w:r>
      <w:r w:rsidR="00D914BB">
        <w:t xml:space="preserve">Belief, in the true sense of the word, is not an assertion of knowledge, or dogma, but courage to act on the best hypothesis we are able to conceive. </w:t>
      </w:r>
      <w:proofErr w:type="gramStart"/>
      <w:r w:rsidR="00D914BB">
        <w:t>Unbelievers are those too timid or idle to guess at the truth and act on the guess” (pp.285-88).</w:t>
      </w:r>
      <w:proofErr w:type="gramEnd"/>
      <w:r w:rsidR="00D914BB">
        <w:t xml:space="preserve"> </w:t>
      </w:r>
    </w:p>
    <w:p w:rsidR="00D914BB" w:rsidRPr="005F74B4" w:rsidRDefault="00D914BB" w:rsidP="00573FA0">
      <w:r>
        <w:t>Inevitably nations did not come to act according to Curtis’s ideals, and he came to think of himself as a prophet crying out in the wilderness, unregarded. Yet one could argue that some of his ideas</w:t>
      </w:r>
      <w:r w:rsidR="003423A3">
        <w:t xml:space="preserve"> have come to be implemented, however imperfectly, in broad bodies such as the United Nations and the E</w:t>
      </w:r>
      <w:r w:rsidR="00DD0EEC">
        <w:t xml:space="preserve">uropean </w:t>
      </w:r>
      <w:r w:rsidR="003423A3">
        <w:t>U</w:t>
      </w:r>
      <w:r w:rsidR="00DD0EEC">
        <w:t>nion</w:t>
      </w:r>
      <w:r w:rsidR="003423A3">
        <w:t>.</w:t>
      </w:r>
    </w:p>
    <w:sectPr w:rsidR="00D914BB" w:rsidRPr="005F74B4" w:rsidSect="0000453C">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723F" w:rsidRDefault="00AC723F" w:rsidP="00A36226">
      <w:pPr>
        <w:spacing w:after="0" w:line="240" w:lineRule="auto"/>
      </w:pPr>
      <w:r>
        <w:separator/>
      </w:r>
    </w:p>
  </w:endnote>
  <w:endnote w:type="continuationSeparator" w:id="0">
    <w:p w:rsidR="00AC723F" w:rsidRDefault="00AC723F" w:rsidP="00A362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212" w:rsidRDefault="007B021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2981687"/>
      <w:docPartObj>
        <w:docPartGallery w:val="Page Numbers (Bottom of Page)"/>
        <w:docPartUnique/>
      </w:docPartObj>
    </w:sdtPr>
    <w:sdtEndPr/>
    <w:sdtContent>
      <w:p w:rsidR="007B0212" w:rsidRDefault="00E11B77">
        <w:pPr>
          <w:pStyle w:val="Footer"/>
          <w:jc w:val="center"/>
        </w:pPr>
        <w:r>
          <w:fldChar w:fldCharType="begin"/>
        </w:r>
        <w:r>
          <w:instrText xml:space="preserve"> PAGE   \* MERGEFORMAT </w:instrText>
        </w:r>
        <w:r>
          <w:fldChar w:fldCharType="separate"/>
        </w:r>
        <w:r w:rsidR="00AC6423">
          <w:rPr>
            <w:noProof/>
          </w:rPr>
          <w:t>1</w:t>
        </w:r>
        <w:r>
          <w:rPr>
            <w:noProof/>
          </w:rPr>
          <w:fldChar w:fldCharType="end"/>
        </w:r>
      </w:p>
    </w:sdtContent>
  </w:sdt>
  <w:p w:rsidR="007B0212" w:rsidRDefault="007B021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212" w:rsidRDefault="007B021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723F" w:rsidRDefault="00AC723F" w:rsidP="00A36226">
      <w:pPr>
        <w:spacing w:after="0" w:line="240" w:lineRule="auto"/>
      </w:pPr>
      <w:r>
        <w:separator/>
      </w:r>
    </w:p>
  </w:footnote>
  <w:footnote w:type="continuationSeparator" w:id="0">
    <w:p w:rsidR="00AC723F" w:rsidRDefault="00AC723F" w:rsidP="00A36226">
      <w:pPr>
        <w:spacing w:after="0" w:line="240" w:lineRule="auto"/>
      </w:pPr>
      <w:r>
        <w:continuationSeparator/>
      </w:r>
    </w:p>
  </w:footnote>
  <w:footnote w:id="1">
    <w:p w:rsidR="007B0212" w:rsidRPr="00236774" w:rsidRDefault="007B0212">
      <w:pPr>
        <w:pStyle w:val="FootnoteText"/>
      </w:pPr>
      <w:r>
        <w:rPr>
          <w:rStyle w:val="FootnoteReference"/>
        </w:rPr>
        <w:footnoteRef/>
      </w:r>
      <w:r>
        <w:t xml:space="preserve"> I have relied on the </w:t>
      </w:r>
      <w:r w:rsidRPr="00236774">
        <w:rPr>
          <w:i/>
        </w:rPr>
        <w:t>Oxford</w:t>
      </w:r>
      <w:r>
        <w:rPr>
          <w:i/>
        </w:rPr>
        <w:t xml:space="preserve"> Dictionary of Biography</w:t>
      </w:r>
      <w:r>
        <w:t xml:space="preserve"> for details of Curtis’s life (entry by Alex May).</w:t>
      </w:r>
    </w:p>
  </w:footnote>
  <w:footnote w:id="2">
    <w:p w:rsidR="007B0212" w:rsidRDefault="007B0212">
      <w:pPr>
        <w:pStyle w:val="FootnoteText"/>
      </w:pPr>
      <w:r>
        <w:rPr>
          <w:rStyle w:val="FootnoteReference"/>
        </w:rPr>
        <w:footnoteRef/>
      </w:r>
      <w:r>
        <w:t xml:space="preserve"> During his year as lecturer in colonial history at Oxford in 1912-13 the professor there complained that in Curtis’s presence he felt like a country rector with the prophet Isaiah as his curate: Oxford DNB</w:t>
      </w:r>
    </w:p>
  </w:footnote>
  <w:footnote w:id="3">
    <w:p w:rsidR="007B0212" w:rsidRPr="00096869" w:rsidRDefault="007B0212">
      <w:pPr>
        <w:pStyle w:val="FootnoteText"/>
      </w:pPr>
      <w:r>
        <w:rPr>
          <w:rStyle w:val="FootnoteReference"/>
        </w:rPr>
        <w:footnoteRef/>
      </w:r>
      <w:r>
        <w:t xml:space="preserve"> Lionel Curtis, </w:t>
      </w:r>
      <w:proofErr w:type="spellStart"/>
      <w:r>
        <w:rPr>
          <w:i/>
        </w:rPr>
        <w:t>Civitas</w:t>
      </w:r>
      <w:proofErr w:type="spellEnd"/>
      <w:r>
        <w:rPr>
          <w:i/>
        </w:rPr>
        <w:t xml:space="preserve"> Dei: The Commonwealth of God</w:t>
      </w:r>
      <w:r>
        <w:t xml:space="preserve"> (Macmillan, London, 1938). Page references in the text are from this volume.</w:t>
      </w:r>
    </w:p>
  </w:footnote>
  <w:footnote w:id="4">
    <w:p w:rsidR="00AC6423" w:rsidRDefault="00AC6423" w:rsidP="00AC6423">
      <w:pPr>
        <w:pStyle w:val="FootnoteText"/>
      </w:pPr>
      <w:r>
        <w:rPr>
          <w:rStyle w:val="FootnoteReference"/>
        </w:rPr>
        <w:footnoteRef/>
      </w:r>
      <w:r>
        <w:t xml:space="preserve"> </w:t>
      </w:r>
      <w:r>
        <w:t>“…our race has before it in this planet aeons of time; perhaps as long as those that covered the whole development of life in the past – that is to say, millions of years… I feel joyfully sure that men will achieve a government of the world responsible to themselves before the first of those millions is passed, within centuries fewer than those since man became man. The human race is still in its early youth” (p.931)</w:t>
      </w:r>
    </w:p>
    <w:p w:rsidR="00AC6423" w:rsidRDefault="00AC6423">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212" w:rsidRDefault="007B021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212" w:rsidRDefault="007B021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212" w:rsidRDefault="007B021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671562"/>
    <w:rsid w:val="00001EBE"/>
    <w:rsid w:val="00002859"/>
    <w:rsid w:val="0000453C"/>
    <w:rsid w:val="00096869"/>
    <w:rsid w:val="000E004A"/>
    <w:rsid w:val="001464AE"/>
    <w:rsid w:val="00236774"/>
    <w:rsid w:val="00281DF3"/>
    <w:rsid w:val="00306FAC"/>
    <w:rsid w:val="003423A3"/>
    <w:rsid w:val="00377D3D"/>
    <w:rsid w:val="003A610A"/>
    <w:rsid w:val="003D6291"/>
    <w:rsid w:val="00405B64"/>
    <w:rsid w:val="00573FA0"/>
    <w:rsid w:val="005766D6"/>
    <w:rsid w:val="00584580"/>
    <w:rsid w:val="005F74B4"/>
    <w:rsid w:val="00671562"/>
    <w:rsid w:val="006B2FD4"/>
    <w:rsid w:val="00737F94"/>
    <w:rsid w:val="007A3B39"/>
    <w:rsid w:val="007B0212"/>
    <w:rsid w:val="00865977"/>
    <w:rsid w:val="008871DE"/>
    <w:rsid w:val="008B1D2A"/>
    <w:rsid w:val="008F4926"/>
    <w:rsid w:val="0091116E"/>
    <w:rsid w:val="0093581C"/>
    <w:rsid w:val="00A36226"/>
    <w:rsid w:val="00AC6423"/>
    <w:rsid w:val="00AC723F"/>
    <w:rsid w:val="00AF2D79"/>
    <w:rsid w:val="00B906E0"/>
    <w:rsid w:val="00C00AB9"/>
    <w:rsid w:val="00C71187"/>
    <w:rsid w:val="00CB1892"/>
    <w:rsid w:val="00D3224E"/>
    <w:rsid w:val="00D914BB"/>
    <w:rsid w:val="00DD0EEC"/>
    <w:rsid w:val="00E11B77"/>
    <w:rsid w:val="00EF4DDF"/>
    <w:rsid w:val="00FA7BD7"/>
    <w:rsid w:val="00FB62E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45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3622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36226"/>
    <w:rPr>
      <w:sz w:val="20"/>
      <w:szCs w:val="20"/>
    </w:rPr>
  </w:style>
  <w:style w:type="character" w:styleId="FootnoteReference">
    <w:name w:val="footnote reference"/>
    <w:basedOn w:val="DefaultParagraphFont"/>
    <w:uiPriority w:val="99"/>
    <w:semiHidden/>
    <w:unhideWhenUsed/>
    <w:rsid w:val="00A36226"/>
    <w:rPr>
      <w:vertAlign w:val="superscript"/>
    </w:rPr>
  </w:style>
  <w:style w:type="paragraph" w:styleId="Header">
    <w:name w:val="header"/>
    <w:basedOn w:val="Normal"/>
    <w:link w:val="HeaderChar"/>
    <w:uiPriority w:val="99"/>
    <w:semiHidden/>
    <w:unhideWhenUsed/>
    <w:rsid w:val="00306FA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06FAC"/>
  </w:style>
  <w:style w:type="paragraph" w:styleId="Footer">
    <w:name w:val="footer"/>
    <w:basedOn w:val="Normal"/>
    <w:link w:val="FooterChar"/>
    <w:uiPriority w:val="99"/>
    <w:unhideWhenUsed/>
    <w:rsid w:val="00306F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6FA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CC1C32-B0F3-463F-80EA-708BE9A0A5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4</Pages>
  <Words>2045</Words>
  <Characters>11659</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5</cp:revision>
  <dcterms:created xsi:type="dcterms:W3CDTF">2013-12-11T23:37:00Z</dcterms:created>
  <dcterms:modified xsi:type="dcterms:W3CDTF">2013-12-17T23:01:00Z</dcterms:modified>
</cp:coreProperties>
</file>