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23D" w:rsidRDefault="00AE157C" w:rsidP="00CE2526">
      <w:pPr>
        <w:jc w:val="center"/>
        <w:rPr>
          <w:b/>
        </w:rPr>
      </w:pPr>
      <w:r>
        <w:rPr>
          <w:b/>
        </w:rPr>
        <w:t xml:space="preserve">  </w:t>
      </w:r>
      <w:r w:rsidR="00556513">
        <w:rPr>
          <w:b/>
        </w:rPr>
        <w:t>R. H.</w:t>
      </w:r>
      <w:r w:rsidR="00A50357">
        <w:rPr>
          <w:b/>
        </w:rPr>
        <w:t xml:space="preserve"> </w:t>
      </w:r>
      <w:r w:rsidR="00DC533F" w:rsidRPr="00CE2526">
        <w:rPr>
          <w:b/>
        </w:rPr>
        <w:t>Tawney’s Christian Idealism and Social Reform</w:t>
      </w:r>
    </w:p>
    <w:p w:rsidR="0076379E" w:rsidRDefault="0076379E" w:rsidP="00CE2526">
      <w:pPr>
        <w:jc w:val="center"/>
        <w:rPr>
          <w:b/>
        </w:rPr>
      </w:pPr>
      <w:r>
        <w:rPr>
          <w:b/>
        </w:rPr>
        <w:t>By Paul Crook</w:t>
      </w:r>
    </w:p>
    <w:p w:rsidR="00CE2526" w:rsidRDefault="00CE2526" w:rsidP="00CE2526">
      <w:r>
        <w:t>R. H. Tawney’s biographers</w:t>
      </w:r>
      <w:r w:rsidR="00556513">
        <w:t>,</w:t>
      </w:r>
      <w:r>
        <w:t xml:space="preserve"> and most serious students of his thought</w:t>
      </w:r>
      <w:r w:rsidR="00556513">
        <w:t>,</w:t>
      </w:r>
      <w:r>
        <w:t xml:space="preserve"> agree that his socialist and social reform ideas were founded upon a Christian moral basis. Recently, however, there have been some revisionist attempts to qualify this and to give a more secular, or humanistic, reading of him, especially in his later writings. I will here give some context that may be of use to those interested in this debate.</w:t>
      </w:r>
    </w:p>
    <w:p w:rsidR="00CB6044" w:rsidRDefault="008443D6" w:rsidP="00CE2526">
      <w:r>
        <w:t xml:space="preserve">There seems pretty general agreement that Tawney was greatly influenced by the Christian ethics he absorbed growing up, including </w:t>
      </w:r>
      <w:r w:rsidR="00611F92">
        <w:t>1850s Christian Socialism and Charles Gore’s social Christianity; and also</w:t>
      </w:r>
      <w:r>
        <w:t xml:space="preserve"> by other currents of thought that flourished in the late nineteenth and early twentieth century. They included </w:t>
      </w:r>
      <w:r w:rsidR="00611F92">
        <w:t>Ruskin’s ethical economics (in one sense he was merely elaborating Ruskin’s dictum that “there is no wealth but life”, redefining rather than redistributing wealth). Another key force upon him was British</w:t>
      </w:r>
      <w:r>
        <w:t xml:space="preserve"> Idealism</w:t>
      </w:r>
      <w:r w:rsidR="00611F92">
        <w:t xml:space="preserve"> (a philosophy that he encountered from his Oxford teacher Edward </w:t>
      </w:r>
      <w:proofErr w:type="spellStart"/>
      <w:r w:rsidR="00611F92">
        <w:t>Caird</w:t>
      </w:r>
      <w:proofErr w:type="spellEnd"/>
      <w:r w:rsidR="00611F92">
        <w:t xml:space="preserve">). Lawrence Goldman’s fine recent biography of Tawney vividly describes the “quasi-religious” milieu that spawned the organised Labour movement from the 1880s. Tawney was a product of this milieu. </w:t>
      </w:r>
      <w:r w:rsidR="00CD0DA3">
        <w:t>H</w:t>
      </w:r>
      <w:r w:rsidR="00611F92">
        <w:t>e was to become something of a lone wolf in continuing this tradition well into the next century</w:t>
      </w:r>
      <w:r w:rsidR="00F25711">
        <w:t>. Goldman recognises the undoctrinaire religious foundation of Tawney’s thought (a fact commented upon by his friends and contemporaries. Beatrice Webb found it very puzzling). Goldman himself is revisionist on one key theme: he shows how Tawney’s early idealistic and radical personal socialism evolved into a more instrumentalist, less original, variety – consistent with the twentieth century Labour policy of state socialism. However Goldman feels, with reason, that the “authentic” Tawney – who kept re-appearing to the end – was the Christian egalitarian rather than the secular state socialist. Christian ethics continued to be fundamental to him</w:t>
      </w:r>
      <w:r w:rsidR="00AF2CD3">
        <w:t>, even though</w:t>
      </w:r>
      <w:r w:rsidR="00F25711">
        <w:t xml:space="preserve"> he was more cautious in publicly espousing it in an increasingly secular age</w:t>
      </w:r>
      <w:r w:rsidR="00AF2CD3">
        <w:t>.</w:t>
      </w:r>
      <w:r w:rsidR="00AF2CD3">
        <w:rPr>
          <w:rStyle w:val="FootnoteReference"/>
        </w:rPr>
        <w:footnoteReference w:id="1"/>
      </w:r>
    </w:p>
    <w:p w:rsidR="00CE2526" w:rsidRDefault="00CB6044" w:rsidP="00CE2526">
      <w:r>
        <w:t>Tawney quite early on justified his social democratic ideals on absolutist Christian values, rejecting ethical philosophies based on relativistic, cultural or utilitarian grounds. In a diary not published until</w:t>
      </w:r>
      <w:r w:rsidR="00800DAA">
        <w:t xml:space="preserve"> 1972, ten years</w:t>
      </w:r>
      <w:r>
        <w:t xml:space="preserve"> after his death</w:t>
      </w:r>
      <w:r w:rsidR="00800DAA">
        <w:t xml:space="preserve">, under the title </w:t>
      </w:r>
      <w:r w:rsidR="00800DAA">
        <w:rPr>
          <w:i/>
        </w:rPr>
        <w:t>Commonplace Book</w:t>
      </w:r>
      <w:r w:rsidR="00800DAA">
        <w:t xml:space="preserve">, we can find key guides to his mainstream thought. He saw the issue of reform of society as a moral issue, not some expedient or politically practical solution to grievances and problems within society. For example: “The industrial problem is a moral problem, a problem of learning as a community to reprobate certain courses of conduct and to approve others… The rule is clear, </w:t>
      </w:r>
      <w:r w:rsidR="00800DAA">
        <w:rPr>
          <w:i/>
        </w:rPr>
        <w:t xml:space="preserve">no </w:t>
      </w:r>
      <w:r w:rsidR="00800DAA">
        <w:t xml:space="preserve">convenience can justify </w:t>
      </w:r>
      <w:r w:rsidR="00800DAA">
        <w:rPr>
          <w:i/>
        </w:rPr>
        <w:t>any</w:t>
      </w:r>
      <w:r w:rsidR="00A02006">
        <w:t xml:space="preserve"> oppression</w:t>
      </w:r>
      <w:r w:rsidR="00800DAA">
        <w:rPr>
          <w:i/>
        </w:rPr>
        <w:t xml:space="preserve"> </w:t>
      </w:r>
      <w:r w:rsidR="00800DAA">
        <w:t xml:space="preserve">… One may not do evil that good should come… The essence of all morality is this: to believe that every human being is of infinite importance, and therefore that no consideration of expediency can justify </w:t>
      </w:r>
      <w:r w:rsidR="00800DAA">
        <w:lastRenderedPageBreak/>
        <w:t>the oppression of one by another. But to believe this it is necessary</w:t>
      </w:r>
      <w:r w:rsidR="00F25711">
        <w:t xml:space="preserve"> </w:t>
      </w:r>
      <w:r w:rsidR="00A02006">
        <w:t>to believe in God… The social order is judged and condemned by a power transcending it.”</w:t>
      </w:r>
      <w:r w:rsidR="00A02006">
        <w:rPr>
          <w:rStyle w:val="FootnoteReference"/>
        </w:rPr>
        <w:footnoteReference w:id="2"/>
      </w:r>
    </w:p>
    <w:p w:rsidR="00EA357A" w:rsidRDefault="00782F65" w:rsidP="00CE2526">
      <w:r>
        <w:t>As Alistair Duff remarks, from a basis of Christian socialism, and under the influence of people such as Charles Gore and the Anglican prelate and his lifetime friend William Temple, “Tawney diligently extracted a reformist politics comprising a potent blend of the core left-wing values of freedom, equality and fraternity” (Duff, p.406). Tawney attacked the amoral profiteering</w:t>
      </w:r>
      <w:r w:rsidR="00C45AEA">
        <w:t xml:space="preserve"> basis of classical capitalism in books such as </w:t>
      </w:r>
      <w:r w:rsidR="00C45AEA">
        <w:rPr>
          <w:i/>
        </w:rPr>
        <w:t>The Acquisitive Society</w:t>
      </w:r>
      <w:r w:rsidR="00C45AEA">
        <w:t xml:space="preserve"> (1921), </w:t>
      </w:r>
      <w:r w:rsidR="00C45AEA">
        <w:rPr>
          <w:i/>
        </w:rPr>
        <w:t xml:space="preserve">Religion and the Rise of Capitalism </w:t>
      </w:r>
      <w:r w:rsidR="00C45AEA">
        <w:t xml:space="preserve">(1926) and </w:t>
      </w:r>
      <w:r w:rsidR="00C45AEA">
        <w:rPr>
          <w:i/>
        </w:rPr>
        <w:t>Equality</w:t>
      </w:r>
      <w:r w:rsidR="00C45AEA">
        <w:t xml:space="preserve"> (1931) – iconic twentieth century books. He put forward an older alternative of communal service, a morally-based voluntarist and free socialism, which, in Goldman’s words, called for a reform of the economy to meet collective needs and for a re-ordering of human values that would make economic activity a means to life rather than an end in </w:t>
      </w:r>
      <w:proofErr w:type="gramStart"/>
      <w:r w:rsidR="00C45AEA">
        <w:t>itself</w:t>
      </w:r>
      <w:proofErr w:type="gramEnd"/>
      <w:r w:rsidR="00C45AEA">
        <w:t>.</w:t>
      </w:r>
      <w:r w:rsidR="00705DD6">
        <w:t xml:space="preserve"> There are echoes here of Ruskin of course, and other thinkers</w:t>
      </w:r>
      <w:r w:rsidR="00EA357A">
        <w:t xml:space="preserve"> </w:t>
      </w:r>
      <w:r w:rsidR="00705DD6">
        <w:t>– such as G. K. Chesterton –</w:t>
      </w:r>
      <w:r w:rsidR="00FE1F6E">
        <w:t xml:space="preserve"> agreed,</w:t>
      </w:r>
      <w:r w:rsidR="00705DD6">
        <w:t xml:space="preserve"> </w:t>
      </w:r>
      <w:r w:rsidR="00EA357A">
        <w:t>sharing</w:t>
      </w:r>
      <w:r w:rsidR="00705DD6">
        <w:t xml:space="preserve"> a touch of romantic nostalgia for a lost medieval past. </w:t>
      </w:r>
    </w:p>
    <w:p w:rsidR="005E62CC" w:rsidRDefault="00705DD6" w:rsidP="00CE2526">
      <w:r>
        <w:t xml:space="preserve">Tawney’s egalitarianism was frankly based, as seen above, on the model of early Christianity, on Christ’s teaching of the essential equality of all humans. As Goldman indicates, as late as 1953 (in </w:t>
      </w:r>
      <w:r>
        <w:rPr>
          <w:i/>
        </w:rPr>
        <w:t>The Attack</w:t>
      </w:r>
      <w:r>
        <w:t>) and 1954 (</w:t>
      </w:r>
      <w:r>
        <w:rPr>
          <w:i/>
        </w:rPr>
        <w:t>Christian Politics</w:t>
      </w:r>
      <w:r>
        <w:t>)</w:t>
      </w:r>
      <w:r w:rsidR="00312DB4">
        <w:t>,</w:t>
      </w:r>
      <w:r>
        <w:t xml:space="preserve"> Tawney</w:t>
      </w:r>
      <w:r w:rsidR="005E62CC">
        <w:t xml:space="preserve"> reiterated his youthful faith that human equality derived from the divine</w:t>
      </w:r>
      <w:r w:rsidR="00EA357A">
        <w:t>:</w:t>
      </w:r>
      <w:r w:rsidR="005E62CC">
        <w:t xml:space="preserve"> “Here he returned to the argument of the </w:t>
      </w:r>
      <w:r w:rsidR="005E62CC">
        <w:rPr>
          <w:i/>
        </w:rPr>
        <w:t>Commonplace Book</w:t>
      </w:r>
      <w:r w:rsidR="005E62CC">
        <w:t xml:space="preserve"> that man’s humanity is God-given and shared with the deity, and that compared with this, all social, national and racial differences are simply trivial and by their nature ‘anti-Christian’ because they are a denial of God’s intent and purpose” (Goldman, p.195).</w:t>
      </w:r>
    </w:p>
    <w:p w:rsidR="005E62CC" w:rsidRPr="002C5CAB" w:rsidRDefault="002C5CAB" w:rsidP="00CE2526">
      <w:r>
        <w:t xml:space="preserve">Tawney wrote in </w:t>
      </w:r>
      <w:r>
        <w:rPr>
          <w:i/>
        </w:rPr>
        <w:t>Christian Politics</w:t>
      </w:r>
      <w:r>
        <w:t>:</w:t>
      </w:r>
    </w:p>
    <w:p w:rsidR="002C5CAB" w:rsidRDefault="005E62CC" w:rsidP="00CE2526">
      <w:r>
        <w:t>The necessary corollary, therefore, of the Christian conception of man is a strong sense of equality.      Equality does not mean that all men are equally clever or equally virtuous, any more than they are equally tall or equally fat. It means that all men, because they are men, are of equal value…The essential point – the essence of equality – is that such diversities must be based, not on accidents of class, income, sex, colour or nationality, but on the real requirements of the different members of the human family</w:t>
      </w:r>
      <w:r w:rsidR="002C5CAB">
        <w:t xml:space="preserve"> (p.13).</w:t>
      </w:r>
    </w:p>
    <w:p w:rsidR="00D62F5D" w:rsidRDefault="002C5CAB" w:rsidP="00CE2526">
      <w:r>
        <w:t>His educational reforms wer</w:t>
      </w:r>
      <w:r w:rsidR="00312DB4">
        <w:t>e based on the same assumptions.</w:t>
      </w:r>
      <w:r>
        <w:t xml:space="preserve"> Equality “denoted </w:t>
      </w:r>
      <w:proofErr w:type="gramStart"/>
      <w:r>
        <w:t>neither equality</w:t>
      </w:r>
      <w:proofErr w:type="gramEnd"/>
      <w:r>
        <w:t xml:space="preserve"> of opportunity nor equality of outcome but an equality of status and respect. Since we are all equal in the sight of God, argued Tawney, we should be equal in each other’s valuations and behaviour. All should be treated justly, all respected equally and have their needs met; but because we differ, our needs must be met in different ways…. Arguably this is the authentic Tawney, the Christian egalitarian rather than the secular state socialist”</w:t>
      </w:r>
      <w:r w:rsidR="00EA357A">
        <w:t xml:space="preserve"> (Goldman, p.196).</w:t>
      </w:r>
    </w:p>
    <w:p w:rsidR="00556513" w:rsidRDefault="00D62F5D" w:rsidP="00CE2526">
      <w:pPr>
        <w:pBdr>
          <w:bottom w:val="single" w:sz="6" w:space="1" w:color="auto"/>
        </w:pBdr>
      </w:pPr>
      <w:r>
        <w:t xml:space="preserve">You could argue that Tawney’s critique of capitalism was essentially ethical rather than – or, better, as well as – structuralist.  The Marxist critique was of course basically structuralist. Although the Marxists used ethical language to deplore the injustices and exploitation of capitalism, they ultimately saw moral systems as cultural superstructures build upon the fundamental reality of the class structure of society. Remove class distinctions through the revolution, they believed, and an </w:t>
      </w:r>
      <w:r>
        <w:lastRenderedPageBreak/>
        <w:t xml:space="preserve">ethical society would automatically emerge. Tawney disagreed. He embraced much of the Marxist criticism of capitalism, but he wanted first and foremost a spiritual or moral regeneration, from which would follow fairer social outcomes. His deepest outrage about the existing industrialist society was that it was “a moral labyrinth”, a new version of slavery, treating human beings as property, as cogs in a colossal </w:t>
      </w:r>
      <w:r w:rsidR="001F1F0C">
        <w:t xml:space="preserve">machine “which grinds wealth out of immortal spirits” (as he wrote in an article of 1914). As Duff aptly says: “For Tawney… even Marxists were ‘not revolutionary enough’, since all they seemed to want was a volte-face in the class distribution of resources, the restoration of the booty, rather than a spiritual emancipation from enslavement to physical wealth… This moralist was seeking not just a community of freedom and equality but also a new overall social consciousness, a post-materialist society” (p.407). </w:t>
      </w:r>
    </w:p>
    <w:p w:rsidR="00782F65" w:rsidRDefault="001F1F0C" w:rsidP="00CE2526">
      <w:pPr>
        <w:pBdr>
          <w:bottom w:val="single" w:sz="6" w:space="1" w:color="auto"/>
        </w:pBdr>
      </w:pPr>
      <w:r>
        <w:t xml:space="preserve">Duff </w:t>
      </w:r>
      <w:r w:rsidR="00872E33">
        <w:t>goes on</w:t>
      </w:r>
      <w:r>
        <w:t xml:space="preserve"> to admit the serious weaknesses in Ta</w:t>
      </w:r>
      <w:r w:rsidR="00312DB4">
        <w:t>wney’s brand of guild socialism -</w:t>
      </w:r>
      <w:r>
        <w:t xml:space="preserve"> which was popular at the time and a react</w:t>
      </w:r>
      <w:r w:rsidR="00872E33">
        <w:t>ion against the more mechanistic brands of socialism around</w:t>
      </w:r>
      <w:r w:rsidR="00312DB4">
        <w:t xml:space="preserve"> -</w:t>
      </w:r>
      <w:r w:rsidR="00872E33">
        <w:t xml:space="preserve"> but  a return to handcraft industries and small scale local economies was hardly a practical option in an increasingly globalised system. Tawney also tended to demonise private enterprise, markets and the profit motive. However the important dimension to his thought was the pre-eminence of the ethical category: “Tawney was always clear that public ownership or control was only a means to an end, only half the story of social justice. The other half was egalitarianism… In this latter regard, Tawney represents the high watermark of Christian socialism, perhaps even the ‘crowning figure’ of ethical socialism generally…</w:t>
      </w:r>
      <w:r w:rsidR="00021429">
        <w:t>At one level, Tawney articulated equality as a logical extension of political democracy… However, egalitarianism for Tawney went far beyond legal or democratic categories, to express a ‘spiritual relation’[to strengthen the common humanity that united people rather than the class difference that divided them]….When viewed in such a searing light, class divisions are anathema, shallow man-made appearances militating against a divinely instituted order of things. This is egalitarianism not only as economic justice, nor merely as ethical idealism, but as metaphysics… This Christian-inspired vision of brotherhood is at the heart of Tawney’s position: it is indeed ‘socialism as fellowship’” (Duff, p.410).</w:t>
      </w:r>
      <w:r w:rsidR="00D62F5D">
        <w:t xml:space="preserve"> </w:t>
      </w:r>
      <w:r w:rsidR="002C5CAB">
        <w:t xml:space="preserve">  </w:t>
      </w:r>
      <w:r w:rsidR="00782F65">
        <w:t xml:space="preserve">  </w:t>
      </w:r>
    </w:p>
    <w:p w:rsidR="00F270DB" w:rsidRDefault="00F270DB" w:rsidP="00F270DB">
      <w:r>
        <w:t>Tawney’s biographers show his religious belief changing from youthful interest in theology to a more generalised, non-doctrinaire, socially-oriented stance. Ross Terrill says this in his penetrating life and times of 1973:</w:t>
      </w:r>
    </w:p>
    <w:p w:rsidR="006C50DA" w:rsidRDefault="00F270DB" w:rsidP="00F270DB">
      <w:r>
        <w:t xml:space="preserve">“During the 1920s he was a discriminating satellite in the outer orbit of the Church of England. When he wrote on religion his topic was the church and the social order, no longer doctrine, religious feelings, and the ultimate grounds of Christianity, as in his pre-war diary [the </w:t>
      </w:r>
      <w:r>
        <w:rPr>
          <w:i/>
        </w:rPr>
        <w:t>Commonplace Book</w:t>
      </w:r>
      <w:r>
        <w:t>]. The basic issues were for him already settled… His beliefs were uncomplicated</w:t>
      </w:r>
      <w:r w:rsidR="00811461">
        <w:t>… From 1917, he and Temple were active in the ‘Life and Liberty Movement’, a campaign to revitalize the church for new social tasks. At the end of the war, he drafted, with Bishop E. S. Talbot and others, the report on ‘Christianity &amp; Industrial Problems’ of the fifth of the archbishops of Canterbury’s committees of inquiry… In 1924 he took part, also with vigour and some impact, in the important Conferences on Politics, Economics and Citizenship (COPEC). Tawney was a religious man and a social moralist more than he was a churchman, even at this time. His intimacy with Temple no doubt kept him nearer to the organized church than he would otherwise have been. Both of them figures in the WEA [Workers Educational Association – Tawney was extremely influential in the history of the WEA]</w:t>
      </w:r>
      <w:r w:rsidR="00826046">
        <w:t xml:space="preserve">, both concerned with the church and the social order, they often talked to each other about things that mattered most to them… </w:t>
      </w:r>
      <w:r w:rsidR="00A35749">
        <w:t xml:space="preserve">[Temple would sometimes talk the night away at Tawney’s house at </w:t>
      </w:r>
      <w:proofErr w:type="spellStart"/>
      <w:r w:rsidR="00A35749">
        <w:lastRenderedPageBreak/>
        <w:t>Mecklenburgh</w:t>
      </w:r>
      <w:proofErr w:type="spellEnd"/>
      <w:r w:rsidR="00A35749">
        <w:t xml:space="preserve"> Square]. </w:t>
      </w:r>
      <w:proofErr w:type="gramStart"/>
      <w:r w:rsidR="00826046">
        <w:t>Thus the informality of the tie between these two quite different Rugby old boys.</w:t>
      </w:r>
      <w:proofErr w:type="gramEnd"/>
      <w:r w:rsidR="00826046">
        <w:t xml:space="preserve"> The mutual influence was great. Intellectually, perhaps Tawney was an even greater influence upon Temple than Temple upon him, partly because Temple was more eager and able to rummage in Tawney’s field of social questions than Tawney was to tackle Temple’s discipline of theology</w:t>
      </w:r>
      <w:r>
        <w:t>”.</w:t>
      </w:r>
      <w:r>
        <w:rPr>
          <w:rStyle w:val="FootnoteReference"/>
        </w:rPr>
        <w:footnoteReference w:id="3"/>
      </w:r>
    </w:p>
    <w:p w:rsidR="00F270DB" w:rsidRDefault="00826046" w:rsidP="00F270DB">
      <w:r>
        <w:t xml:space="preserve">Some Anglican historians have </w:t>
      </w:r>
      <w:r w:rsidR="00DA7CCF">
        <w:t>described</w:t>
      </w:r>
      <w:r>
        <w:t xml:space="preserve"> Tawney’s behind</w:t>
      </w:r>
      <w:r w:rsidR="00DA7CCF">
        <w:t>-</w:t>
      </w:r>
      <w:r>
        <w:t xml:space="preserve"> the</w:t>
      </w:r>
      <w:r w:rsidR="00DA7CCF">
        <w:t>-</w:t>
      </w:r>
      <w:r>
        <w:t xml:space="preserve"> scenes influence, in conjunction with the powerful William Temple, as a major force and dynamic in Anglican developments at this time. He continued to be active for a long time in committee and conference work in English Christian affairs.</w:t>
      </w:r>
      <w:r w:rsidR="006C50DA">
        <w:t xml:space="preserve"> </w:t>
      </w:r>
      <w:r w:rsidR="003D0178">
        <w:t>In 1937, for example, he took part in the Oxford Conference on Church and Society.</w:t>
      </w:r>
      <w:r w:rsidR="00A35749">
        <w:t xml:space="preserve"> More research needs to be done on the Tawney-Temple collaboration. Hopefully the opening of new archives will shine light on all this.</w:t>
      </w:r>
    </w:p>
    <w:p w:rsidR="00193FC4" w:rsidRDefault="003D0178" w:rsidP="00F270DB">
      <w:r>
        <w:t>Although his Christian values saturated his social analysis, Tawney could be vitriolic about the actual failure of the church in Britain (and elsewhere) to do anything significant about social reform. The churchmen talked</w:t>
      </w:r>
      <w:r w:rsidR="007D7D10">
        <w:t>,</w:t>
      </w:r>
      <w:r>
        <w:t xml:space="preserve"> but at the highest level they did little. The revitalization he and Temple worked for did not eventuate. That was his judgment. As Terrill says, works such as his </w:t>
      </w:r>
      <w:r>
        <w:rPr>
          <w:i/>
        </w:rPr>
        <w:t>Religion and the Rise of Capitalism</w:t>
      </w:r>
      <w:r>
        <w:t xml:space="preserve"> (1926) attacked capitalism historically, and deplored its undermining of Christian ethics</w:t>
      </w:r>
      <w:r w:rsidR="007D7D10">
        <w:t xml:space="preserve"> by its emphasis on profiteering, “and it dared the churches to recover the proper concern of Christianity with the whole range of social and economic life. The challenge to historians produced rich fruit; that to the churches came </w:t>
      </w:r>
      <w:proofErr w:type="gramStart"/>
      <w:r w:rsidR="007D7D10">
        <w:t>to</w:t>
      </w:r>
      <w:proofErr w:type="gramEnd"/>
      <w:r w:rsidR="007D7D10">
        <w:t xml:space="preserve"> little. </w:t>
      </w:r>
      <w:proofErr w:type="gramStart"/>
      <w:r w:rsidR="007D7D10">
        <w:t>Tawney’s religious themes made more impact on his secular readers than his economic views did on his religious readers” (p.60).</w:t>
      </w:r>
      <w:proofErr w:type="gramEnd"/>
      <w:r w:rsidR="007D7D10">
        <w:t xml:space="preserve"> </w:t>
      </w:r>
    </w:p>
    <w:p w:rsidR="00307D3E" w:rsidRDefault="007D7D10" w:rsidP="00F270DB">
      <w:r>
        <w:t>Many socialist and reformist readers simply accepted his historical reading. They read the book as a call to arms against the industrial system, but ignored his call for a present day religious or spiritual revival. Terrill also make</w:t>
      </w:r>
      <w:r w:rsidR="00177039">
        <w:t>s</w:t>
      </w:r>
      <w:r>
        <w:t xml:space="preserve"> the point that many of his historical critics missed the point that Tawney was as much an enemy of communism, certainly of </w:t>
      </w:r>
      <w:r w:rsidR="00177039">
        <w:t xml:space="preserve">the </w:t>
      </w:r>
      <w:r>
        <w:t>totalitarian</w:t>
      </w:r>
      <w:r w:rsidR="00177039">
        <w:t xml:space="preserve"> Soviet Union, as of capitalism.  He attacked the “servile cult of the inevitable”, historical determinism, and championed individual freedom – especially that of grass roots democracy emancipated from the shackles and materialism of global capitalism. </w:t>
      </w:r>
      <w:r w:rsidR="00DA7CCF">
        <w:t>Meanwhile the church did little.</w:t>
      </w:r>
      <w:r w:rsidR="00DA7CCF">
        <w:rPr>
          <w:rStyle w:val="FootnoteReference"/>
        </w:rPr>
        <w:footnoteReference w:id="4"/>
      </w:r>
      <w:r w:rsidR="00DA7CCF">
        <w:t xml:space="preserve"> </w:t>
      </w:r>
      <w:r w:rsidR="00177039">
        <w:t xml:space="preserve">Beatrice Webb noted in her diary that Tawney “profoundly dislikes and denounces the worldliness of the Anglican </w:t>
      </w:r>
      <w:proofErr w:type="gramStart"/>
      <w:r w:rsidR="00177039">
        <w:t>church</w:t>
      </w:r>
      <w:proofErr w:type="gramEnd"/>
      <w:r w:rsidR="00177039">
        <w:t xml:space="preserve"> and its toleration of capitalist exploitation” (entry in 1937).</w:t>
      </w:r>
    </w:p>
    <w:p w:rsidR="003D0178" w:rsidRDefault="00307D3E" w:rsidP="00F270DB">
      <w:r>
        <w:t xml:space="preserve">Tawney wrote relatively little during the 1930s, no major book for twenty years after </w:t>
      </w:r>
      <w:r>
        <w:rPr>
          <w:i/>
        </w:rPr>
        <w:t>Land and Labour in China</w:t>
      </w:r>
      <w:r>
        <w:t xml:space="preserve"> in 1932: “It is a curiosity of Tawney’s career that he faded somewhat from the scene during the 1930s, the decade supposed to constitute a peak of influence for socialist intellectuals… Tawney was depressed, and intellectually a bit paralyzed, by the intensifying concentration of irresponsible governmental power and the rise of totalitarian ideologies all over Europe” (</w:t>
      </w:r>
      <w:r w:rsidR="00754E8C">
        <w:t xml:space="preserve">Terrill, </w:t>
      </w:r>
      <w:r>
        <w:t xml:space="preserve">p. 139). As a parallel we might notice that Aldous Huxley, the novelist and environmentalist, felt much the same, as he too favoured small government and localised </w:t>
      </w:r>
      <w:r w:rsidR="00754E8C">
        <w:t>democracy</w:t>
      </w:r>
      <w:r>
        <w:t>, and warned against the power of monoliths of the right and left.</w:t>
      </w:r>
      <w:r>
        <w:rPr>
          <w:rStyle w:val="FootnoteReference"/>
        </w:rPr>
        <w:footnoteReference w:id="5"/>
      </w:r>
      <w:r w:rsidR="00177039">
        <w:t xml:space="preserve">  </w:t>
      </w:r>
      <w:r w:rsidR="007D7D10">
        <w:t xml:space="preserve"> </w:t>
      </w:r>
    </w:p>
    <w:p w:rsidR="00C83A6B" w:rsidRDefault="00754E8C" w:rsidP="00F270DB">
      <w:r>
        <w:lastRenderedPageBreak/>
        <w:t>Why had totalitarianism arisen? One historical reason, according to Tawney, was the moral vacuum left by the decline of religion in the west: “The alternative to religion is rarely irreligion; it is a counter-religion”. Fascism and Soviet Communism were such counter-religions; and so also was the materialist greed of capitalism: “The apostasies waiting to succeed [religion] are legion</w:t>
      </w:r>
      <w:r w:rsidR="00FC2609">
        <w:t xml:space="preserve">; but the most popular claimants to the political throne have commonly been two. They are the worship of </w:t>
      </w:r>
      <w:proofErr w:type="gramStart"/>
      <w:r w:rsidR="00FC2609">
        <w:t>riches,</w:t>
      </w:r>
      <w:proofErr w:type="gramEnd"/>
      <w:r w:rsidR="00FC2609">
        <w:t xml:space="preserve"> and the worship of power”. </w:t>
      </w:r>
      <w:r w:rsidR="00FC2609">
        <w:rPr>
          <w:rStyle w:val="FootnoteReference"/>
        </w:rPr>
        <w:footnoteReference w:id="6"/>
      </w:r>
      <w:r w:rsidR="00FC2609">
        <w:t xml:space="preserve">  Keynes </w:t>
      </w:r>
      <w:r w:rsidR="000E0586">
        <w:t xml:space="preserve">said famously </w:t>
      </w:r>
      <w:r w:rsidR="00FC2609">
        <w:t>that capitalism was absolutely irreligious</w:t>
      </w:r>
      <w:r w:rsidR="000E0586">
        <w:t>. Tawney had put a similar, if more restrained</w:t>
      </w:r>
      <w:r w:rsidR="008802D4">
        <w:t>,</w:t>
      </w:r>
      <w:r w:rsidR="000E0586">
        <w:t xml:space="preserve"> thesis</w:t>
      </w:r>
      <w:r w:rsidR="00C83A6B">
        <w:t xml:space="preserve"> with </w:t>
      </w:r>
      <w:r w:rsidR="000E0586">
        <w:t xml:space="preserve">great </w:t>
      </w:r>
      <w:r w:rsidR="00C83A6B">
        <w:t xml:space="preserve">originality in </w:t>
      </w:r>
      <w:r w:rsidR="00C83A6B">
        <w:rPr>
          <w:i/>
        </w:rPr>
        <w:t>Religion and the Rise of Capitalism</w:t>
      </w:r>
      <w:r w:rsidR="00C83A6B">
        <w:t xml:space="preserve">. </w:t>
      </w:r>
    </w:p>
    <w:p w:rsidR="00754E8C" w:rsidRPr="003D0178" w:rsidRDefault="00C83A6B" w:rsidP="00F270DB">
      <w:r>
        <w:t>As Terrill concludes, Tawney from his Christian point of view saw capitalism as ungodly, both for “its irreverence toward nature” and because it was a counter-religion: “Instead of encouraging in man a creaturely attitude to the divine creation, capitalism puts a premium on a Promethean lust for limitless, almost blasphemous, exploitation of nature and dominance over nature”. But Tawney did not see capitalism as the determined fate of humankind</w:t>
      </w:r>
      <w:r w:rsidR="000E0586">
        <w:t>. H</w:t>
      </w:r>
      <w:r>
        <w:t>e shared the common conviction of thirties intellectuals that it could well be displaced by other systems</w:t>
      </w:r>
      <w:r w:rsidR="000E0586">
        <w:t>. “History had no more granted to it the blessing of permanence than to feudalism before it. Its continuance was no more inevitable than its coming. In demonstrating the historical mortality of capitalism, Tawney strengthened the resolve of those who did not like capitalism but had no conviction of the possibility of replacing it” (</w:t>
      </w:r>
      <w:r w:rsidR="00F92551">
        <w:t xml:space="preserve">Terrill, </w:t>
      </w:r>
      <w:r w:rsidR="000E0586">
        <w:t>pp.252-253).</w:t>
      </w:r>
      <w:r w:rsidR="00FC2609">
        <w:t xml:space="preserve"> </w:t>
      </w:r>
    </w:p>
    <w:p w:rsidR="00811461" w:rsidRDefault="00DE4382" w:rsidP="00F270DB">
      <w:r>
        <w:t xml:space="preserve">In Terrill’s opinion “Tawney hovered between affection and despair for the church, and for much of the latter part of his life (except in the very last years) he had little hope that the church could serve what he thought of as a Christian social purpose… The church could not reclaim its former authority over English life. Christianity could now expect only the attention that the intrinsic merits of its ideas may command. </w:t>
      </w:r>
      <w:proofErr w:type="gramStart"/>
      <w:r>
        <w:t>Tawney’s significance was that amidst the decay of the faith and authority of the church he formulated the most influential case from the socialist side for an expression of Christianity in political terms” (pp.265-266).</w:t>
      </w:r>
      <w:proofErr w:type="gramEnd"/>
      <w:r>
        <w:t xml:space="preserve"> This essentially was through his gospel of fellowship. Terrill categorises Tawney as an ethical idealist, “a democratic socialist with philosophic roots in Christian humanism</w:t>
      </w:r>
      <w:r w:rsidR="00E440A4">
        <w:t>” (p.269).</w:t>
      </w:r>
    </w:p>
    <w:p w:rsidR="00C076D4" w:rsidRDefault="00C076D4" w:rsidP="00F270DB">
      <w:r>
        <w:rPr>
          <w:b/>
        </w:rPr>
        <w:t>The Revisionist Debate</w:t>
      </w:r>
    </w:p>
    <w:p w:rsidR="00E557D6" w:rsidRDefault="00C076D4" w:rsidP="00F270DB">
      <w:r>
        <w:t xml:space="preserve">In an article of 2010, the Newcastle-Upon-Tyne political scientists Gary Armstrong and Tim Gray challenged three positions they believe </w:t>
      </w:r>
      <w:r w:rsidR="003F7F91">
        <w:t>had been</w:t>
      </w:r>
      <w:r>
        <w:t xml:space="preserve"> taken by main commentators and biographers of Tawney (especially Ross Terrill, W. H. Greenleaf and Anthony Wright). To keep it brief, these “orthodoxies” were: (1) that Tawney’s work never changed substantially over his life (2)</w:t>
      </w:r>
      <w:r w:rsidR="003F7F91">
        <w:t xml:space="preserve"> </w:t>
      </w:r>
      <w:r>
        <w:t>that Tawney’s politics was largely derivative of his religion (or, as someone else put it</w:t>
      </w:r>
      <w:r w:rsidR="003F7F91">
        <w:t xml:space="preserve"> more sympathetically</w:t>
      </w:r>
      <w:r>
        <w:t xml:space="preserve">, was continually informed by and articulated a deep Christian sensitivity); and (3) that the early </w:t>
      </w:r>
      <w:r>
        <w:rPr>
          <w:i/>
        </w:rPr>
        <w:t>Commonplace Book</w:t>
      </w:r>
      <w:r w:rsidR="003F7F91">
        <w:t xml:space="preserve"> set the seal on his subsequent political thought, which was essentially consistent throughout.</w:t>
      </w:r>
      <w:r w:rsidR="003F7F91">
        <w:rPr>
          <w:rStyle w:val="FootnoteReference"/>
        </w:rPr>
        <w:footnoteReference w:id="7"/>
      </w:r>
      <w:r w:rsidR="00E557D6">
        <w:t xml:space="preserve">  These claims are backed by close analysis of Tawney’s works. </w:t>
      </w:r>
    </w:p>
    <w:p w:rsidR="00C076D4" w:rsidRDefault="00E557D6" w:rsidP="00F270DB">
      <w:r>
        <w:lastRenderedPageBreak/>
        <w:t xml:space="preserve">Armstrong and Gray challenge the received assumptions “by demonstrating that Tawney’s political thought is not consistent but changes significantly over the course of his long writing career; that one important change is that he dilutes his early attachment to Christianity as the foundation stone of his political thought and that the diaries (the </w:t>
      </w:r>
      <w:r>
        <w:rPr>
          <w:i/>
        </w:rPr>
        <w:t>Commonplace Book</w:t>
      </w:r>
      <w:r>
        <w:t>) are not the key to an understanding of Tawney’s political thought”.</w:t>
      </w:r>
      <w:r w:rsidR="003F7F91">
        <w:t xml:space="preserve"> </w:t>
      </w:r>
      <w:r w:rsidR="004F4C76">
        <w:t>They track through Tawney’s writings chronologically to show evolution of his thought, “concentrating on the key concepts of equal worth and the political realm to demonstrate that his ideas underwent considerable change from a Christian exclusivity, which held that core values were conceptually dependent on a belief in the existence of God, to a predominantly secular position that core values were based largely on rational analysis” (A&amp;G, p.162). They speak of the gradual secularization of his concepts.</w:t>
      </w:r>
    </w:p>
    <w:p w:rsidR="004F4C76" w:rsidRDefault="004F4C76" w:rsidP="00F270DB">
      <w:r>
        <w:t>They argue that</w:t>
      </w:r>
      <w:r w:rsidR="00E956B3">
        <w:t xml:space="preserve"> Tawney came to focus upon socialism and the Labour Party as the main architects of the Good Society rather than Christianity and the church. They agree that the young Tawney embedded his concept of equality and equal worth in a Christian ethical framework, but claim that “this restrictive conception is confined to Tawney’s early work, and he adopts a humanist conception, which acknowledges the legitimacy of a secular appropriation, in his masterpiece </w:t>
      </w:r>
      <w:r w:rsidR="00E956B3">
        <w:rPr>
          <w:i/>
        </w:rPr>
        <w:t>Equality</w:t>
      </w:r>
      <w:r w:rsidR="00895E02">
        <w:t>”</w:t>
      </w:r>
      <w:r w:rsidR="00E956B3">
        <w:t>. They reject the suggestion that Tawney tactically adopted a secular idiom to appeal to non-religious readers: “The change in Tawney’s thought is not merely tactical, but philosophical: an inclusive secular formulation of equality</w:t>
      </w:r>
      <w:r w:rsidR="00EF5A9A">
        <w:t xml:space="preserve"> cannot but undermine an exclusive Christian core” (A&amp;G, p</w:t>
      </w:r>
      <w:r w:rsidR="0076379E">
        <w:t>p</w:t>
      </w:r>
      <w:r w:rsidR="00EF5A9A">
        <w:t>.16</w:t>
      </w:r>
      <w:r w:rsidR="0076379E">
        <w:t>7 -168</w:t>
      </w:r>
      <w:r w:rsidR="00EF5A9A">
        <w:t>).</w:t>
      </w:r>
      <w:r w:rsidR="00E956B3">
        <w:t xml:space="preserve"> </w:t>
      </w:r>
      <w:r w:rsidR="00EF5A9A">
        <w:t>He initially suspected politics as morally bankrupt, but came to accept the state as a necessary agency to implement a new ethical society based upon social service. (This is perhaps compatible with Goldman’s theme that Tawney abandoned his early Christian radicalism for an instrumental state socialism, but note Goldman’s belief that the “authentic” early Tawney still stayed there at his core and re-emerged at the end).</w:t>
      </w:r>
    </w:p>
    <w:p w:rsidR="00EF5A9A" w:rsidRDefault="002C2AB2" w:rsidP="00F270DB">
      <w:r>
        <w:t xml:space="preserve">Armstrong and Gray analyse </w:t>
      </w:r>
      <w:r>
        <w:rPr>
          <w:i/>
        </w:rPr>
        <w:t>The Acquisitive Society</w:t>
      </w:r>
      <w:r>
        <w:t xml:space="preserve"> as “a predominantly secular work”, barring some “sparse biblical allusions” and “a dramatic reversion to the hyper-religiosity of the </w:t>
      </w:r>
      <w:r>
        <w:rPr>
          <w:i/>
        </w:rPr>
        <w:t>Commonplace Book</w:t>
      </w:r>
      <w:r>
        <w:t xml:space="preserve">” in the final chapter (p.169). The later Tawney, they seem to be saying, accepted that political ideologies such as socialism, or even more pragmatic Labourism, could make meaningful moral appeals, without needing transcendental foundations. </w:t>
      </w:r>
      <w:r w:rsidR="0097525E">
        <w:t>(Whether that rules out Tawney using both religious and secular justifications is not made clear).</w:t>
      </w:r>
      <w:r w:rsidR="00895E02">
        <w:t xml:space="preserve"> They end: “Simplistic assertions of consistency, dependence and derivation fail to capture the complex and varied nature of the relationship between Tawney’s political thought and his Christianity”</w:t>
      </w:r>
      <w:r w:rsidR="00155D5B">
        <w:t xml:space="preserve"> (</w:t>
      </w:r>
      <w:r w:rsidR="00895E02">
        <w:t>A&amp;G, p.172).</w:t>
      </w:r>
    </w:p>
    <w:p w:rsidR="00895E02" w:rsidRDefault="00895E02" w:rsidP="00F270DB">
      <w:r>
        <w:t xml:space="preserve">The complexities of Tawney are certainly brought out in Lawrence Goldman’s 2013 life (and I imagine would </w:t>
      </w:r>
      <w:r w:rsidR="0076379E">
        <w:t>hardly</w:t>
      </w:r>
      <w:r w:rsidR="003714E0">
        <w:t xml:space="preserve"> have</w:t>
      </w:r>
      <w:r>
        <w:t xml:space="preserve"> been denied by his earlier biographers). Goldman </w:t>
      </w:r>
      <w:r w:rsidR="0076379E">
        <w:t>barely</w:t>
      </w:r>
      <w:r>
        <w:t xml:space="preserve"> bothers with the Armstrong/Gray thesis. In a single reference he mentions that they</w:t>
      </w:r>
      <w:r w:rsidR="003714E0">
        <w:t xml:space="preserve"> had drawn attention to the changes and inconsistencies in Tawney ideas, “though Tawney himself would have been the first to admit that he was not a systematic social thinker and that the construction of a philosophical system was never his aim” (Goldman, p.8).</w:t>
      </w:r>
    </w:p>
    <w:p w:rsidR="003714E0" w:rsidRDefault="003714E0" w:rsidP="00F270DB">
      <w:r>
        <w:t>One of the more interesting responses came from the American scholar Adam Seligman, a Tawney admirer. In a review labelled “Tendentious Debunking” he recalls: “I first encountered Tawney’s writing in public high school in Brooklyn in the 1960s and it made perfect sense in those times of social protest, activism, and visions of a better world”. While welcoming this addition to Tawney scholarship</w:t>
      </w:r>
      <w:r w:rsidR="0067688B">
        <w:t>, and hoping that it m</w:t>
      </w:r>
      <w:r w:rsidR="00B3437E">
        <w:t xml:space="preserve">ight </w:t>
      </w:r>
      <w:r w:rsidR="0067688B">
        <w:t xml:space="preserve">increase familiarity with </w:t>
      </w:r>
      <w:r w:rsidR="00B3437E">
        <w:t>his</w:t>
      </w:r>
      <w:r w:rsidR="0067688B">
        <w:t xml:space="preserve"> important writings, Seligman has </w:t>
      </w:r>
      <w:r w:rsidR="0067688B">
        <w:lastRenderedPageBreak/>
        <w:t xml:space="preserve">his reservations: </w:t>
      </w:r>
      <w:r w:rsidR="00B3437E">
        <w:t>“</w:t>
      </w:r>
      <w:r w:rsidR="0067688B">
        <w:t xml:space="preserve">At times they seem to overstate their case and, in making their argument, seem to impose distinctions and divisions in the trajectory of Tawney’s thought that feel foreign to the felt experience of reading Tawney’s prose. At times such reading borders on the tendentious. </w:t>
      </w:r>
      <w:proofErr w:type="gramStart"/>
      <w:r w:rsidR="0067688B">
        <w:t xml:space="preserve">Thus Tawney’s book </w:t>
      </w:r>
      <w:r w:rsidR="0067688B">
        <w:rPr>
          <w:i/>
        </w:rPr>
        <w:t>The Attack</w:t>
      </w:r>
      <w:r w:rsidR="0067688B">
        <w:t xml:space="preserve"> (1953), which was published less than ten years before he died, did indeed contain earlier essays from the 1920s and is discussed in this context by our authors.</w:t>
      </w:r>
      <w:proofErr w:type="gramEnd"/>
      <w:r w:rsidR="0067688B">
        <w:t xml:space="preserve"> They, however, totally disregard the strong religious or spiritual elements to be found in this work – most especially the importance of Christian fellowship as the basis of equality and ethical action… Doubtless most people’s thought grows and changes over time and the circumstances of life, but equally, some threads and concerns remain constant, if with changing hues and emphases”.  Asking why the authors protest so much about the religiosity of Tawney, Seligman makes a </w:t>
      </w:r>
      <w:r w:rsidR="00B3437E">
        <w:t>telling</w:t>
      </w:r>
      <w:r w:rsidR="0067688B">
        <w:t xml:space="preserve"> point: “One almost feels it reflects current political concerns and conflicts much more than those of the first half of the twentieth century</w:t>
      </w:r>
      <w:r w:rsidR="00863216">
        <w:t>. We are today caught in a world where the religious and secular roots of action, morality, and understanding are thought to be antithetical, as ultimate contradictions. This was not always so. It certainly was not so of the world inhabited by the likes of Tawney, Hugh Gaitskell (leader of the Labour Party), and Archbishop Temple”.</w:t>
      </w:r>
      <w:r w:rsidR="00863216">
        <w:rPr>
          <w:rStyle w:val="FootnoteReference"/>
        </w:rPr>
        <w:footnoteReference w:id="8"/>
      </w:r>
    </w:p>
    <w:p w:rsidR="00556513" w:rsidRDefault="00556513" w:rsidP="00556513">
      <w:pPr>
        <w:jc w:val="center"/>
      </w:pPr>
      <w:r>
        <w:t>*</w:t>
      </w:r>
    </w:p>
    <w:p w:rsidR="00B3437E" w:rsidRDefault="00B3437E" w:rsidP="00F270DB">
      <w:r>
        <w:t xml:space="preserve">In the above I have tried to give at least some context and to present differing views on the revisionist debate, and much else. If you are interested in these issues, you can obtain much more detail from the sources </w:t>
      </w:r>
      <w:r w:rsidR="00155D5B">
        <w:t>cited</w:t>
      </w:r>
      <w:r>
        <w:t xml:space="preserve">. Goldman </w:t>
      </w:r>
      <w:r w:rsidR="00556513">
        <w:t xml:space="preserve">lists </w:t>
      </w:r>
      <w:r>
        <w:t xml:space="preserve">over nine pages of books and articles </w:t>
      </w:r>
      <w:r w:rsidR="00556513">
        <w:t>by and about</w:t>
      </w:r>
      <w:r>
        <w:t xml:space="preserve"> Tawney, so good hunting!</w:t>
      </w:r>
    </w:p>
    <w:p w:rsidR="00556513" w:rsidRPr="0067688B" w:rsidRDefault="00556513" w:rsidP="00F270DB">
      <w:r>
        <w:t>[April 2015]</w:t>
      </w:r>
    </w:p>
    <w:sectPr w:rsidR="00556513" w:rsidRPr="0067688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FFC" w:rsidRDefault="00A55FFC" w:rsidP="00AF2CD3">
      <w:pPr>
        <w:spacing w:after="0" w:line="240" w:lineRule="auto"/>
      </w:pPr>
      <w:r>
        <w:separator/>
      </w:r>
    </w:p>
  </w:endnote>
  <w:endnote w:type="continuationSeparator" w:id="0">
    <w:p w:rsidR="00A55FFC" w:rsidRDefault="00A55FFC" w:rsidP="00AF2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409016"/>
      <w:docPartObj>
        <w:docPartGallery w:val="Page Numbers (Bottom of Page)"/>
        <w:docPartUnique/>
      </w:docPartObj>
    </w:sdtPr>
    <w:sdtEndPr>
      <w:rPr>
        <w:noProof/>
      </w:rPr>
    </w:sdtEndPr>
    <w:sdtContent>
      <w:p w:rsidR="00784BFF" w:rsidRDefault="00784BFF">
        <w:pPr>
          <w:pStyle w:val="Footer"/>
          <w:jc w:val="center"/>
        </w:pPr>
        <w:r>
          <w:fldChar w:fldCharType="begin"/>
        </w:r>
        <w:r>
          <w:instrText xml:space="preserve"> PAGE   \* MERGEFORMAT </w:instrText>
        </w:r>
        <w:r>
          <w:fldChar w:fldCharType="separate"/>
        </w:r>
        <w:r w:rsidR="001B6873">
          <w:rPr>
            <w:noProof/>
          </w:rPr>
          <w:t>7</w:t>
        </w:r>
        <w:r>
          <w:rPr>
            <w:noProof/>
          </w:rPr>
          <w:fldChar w:fldCharType="end"/>
        </w:r>
      </w:p>
    </w:sdtContent>
  </w:sdt>
  <w:p w:rsidR="00784BFF" w:rsidRDefault="00784B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FFC" w:rsidRDefault="00A55FFC" w:rsidP="00AF2CD3">
      <w:pPr>
        <w:spacing w:after="0" w:line="240" w:lineRule="auto"/>
      </w:pPr>
      <w:r>
        <w:separator/>
      </w:r>
    </w:p>
  </w:footnote>
  <w:footnote w:type="continuationSeparator" w:id="0">
    <w:p w:rsidR="00A55FFC" w:rsidRDefault="00A55FFC" w:rsidP="00AF2CD3">
      <w:pPr>
        <w:spacing w:after="0" w:line="240" w:lineRule="auto"/>
      </w:pPr>
      <w:r>
        <w:continuationSeparator/>
      </w:r>
    </w:p>
  </w:footnote>
  <w:footnote w:id="1">
    <w:p w:rsidR="00AF2CD3" w:rsidRPr="00A02006" w:rsidRDefault="00AF2CD3">
      <w:pPr>
        <w:pStyle w:val="FootnoteText"/>
      </w:pPr>
      <w:r>
        <w:rPr>
          <w:rStyle w:val="FootnoteReference"/>
        </w:rPr>
        <w:footnoteRef/>
      </w:r>
      <w:r>
        <w:t xml:space="preserve"> Lawrence Goldman, </w:t>
      </w:r>
      <w:proofErr w:type="gramStart"/>
      <w:r>
        <w:rPr>
          <w:i/>
        </w:rPr>
        <w:t>The</w:t>
      </w:r>
      <w:proofErr w:type="gramEnd"/>
      <w:r>
        <w:rPr>
          <w:i/>
        </w:rPr>
        <w:t xml:space="preserve"> Life of R. H. Tawney: Socialism and History</w:t>
      </w:r>
      <w:r>
        <w:t xml:space="preserve"> (London, New York, 2014).</w:t>
      </w:r>
      <w:r w:rsidR="00CB6044">
        <w:t xml:space="preserve"> Earlier biographies include: Ross Terrill, </w:t>
      </w:r>
      <w:r w:rsidR="00CB6044">
        <w:rPr>
          <w:i/>
        </w:rPr>
        <w:t>R. H. Tawney and His Times</w:t>
      </w:r>
      <w:r w:rsidR="00CB6044">
        <w:t xml:space="preserve"> (Harvard, Mass., 1973) and Anthony Wright, </w:t>
      </w:r>
      <w:r w:rsidR="00CB6044">
        <w:rPr>
          <w:i/>
        </w:rPr>
        <w:t>R. H. Tawney</w:t>
      </w:r>
      <w:r w:rsidR="00CB6044">
        <w:t xml:space="preserve"> (Manchester, 1987).</w:t>
      </w:r>
      <w:r w:rsidR="00A02006">
        <w:t xml:space="preserve"> </w:t>
      </w:r>
      <w:r w:rsidR="00CC1D14">
        <w:t xml:space="preserve">Tawney’s </w:t>
      </w:r>
      <w:r w:rsidR="00CC1D14">
        <w:rPr>
          <w:i/>
        </w:rPr>
        <w:t xml:space="preserve">Commonplace </w:t>
      </w:r>
      <w:r w:rsidR="00CC1D14" w:rsidRPr="00CC1D14">
        <w:t>Book</w:t>
      </w:r>
      <w:r w:rsidR="00CC1D14">
        <w:t xml:space="preserve"> (see below) is a good guide to his early thought. </w:t>
      </w:r>
      <w:r w:rsidR="00A02006" w:rsidRPr="00CC1D14">
        <w:t>For</w:t>
      </w:r>
      <w:r w:rsidR="00A02006">
        <w:t xml:space="preserve"> an excellent discussion of this and other Tawney sources, and his thought, see Alastair Duff, “The Sickness of an Information Society: R. H. Tawney and the Post-Industrial Condition”, </w:t>
      </w:r>
      <w:r w:rsidR="00A02006">
        <w:rPr>
          <w:i/>
        </w:rPr>
        <w:t>Information, Communication and Society</w:t>
      </w:r>
      <w:r w:rsidR="00613869">
        <w:t>, 7,3 (2004), pp.403-422.  I have paraphrased some of Duff’s readings in what follows. He argues that Tawney is still relevant in giving critical perspectives on the technocratic social structure and new modes of information and communication: “Tawney delineates a moral order against which all political actions and institutions must be benchmarked, a theory of right for those steering a course amid the tempting, teleological currents of modern politics…Tawney had affirmed the non-negotiable priority pf the right over the good in the political order” (pp.405-406).</w:t>
      </w:r>
    </w:p>
  </w:footnote>
  <w:footnote w:id="2">
    <w:p w:rsidR="00A02006" w:rsidRPr="00A02006" w:rsidRDefault="00A02006">
      <w:pPr>
        <w:pStyle w:val="FootnoteText"/>
      </w:pPr>
      <w:r>
        <w:rPr>
          <w:rStyle w:val="FootnoteReference"/>
        </w:rPr>
        <w:footnoteRef/>
      </w:r>
      <w:r>
        <w:t xml:space="preserve"> </w:t>
      </w:r>
      <w:proofErr w:type="gramStart"/>
      <w:r>
        <w:rPr>
          <w:i/>
        </w:rPr>
        <w:t>R. H. Tawney’s Commonplace Book</w:t>
      </w:r>
      <w:r>
        <w:t>, ed. J. M. Winter and D. M. Joslin (Cambridge, 1972); diary for years 1912-1914, pp.12, 65-68.</w:t>
      </w:r>
      <w:proofErr w:type="gramEnd"/>
    </w:p>
  </w:footnote>
  <w:footnote w:id="3">
    <w:p w:rsidR="00F270DB" w:rsidRPr="00F270DB" w:rsidRDefault="00F270DB">
      <w:pPr>
        <w:pStyle w:val="FootnoteText"/>
      </w:pPr>
      <w:r>
        <w:rPr>
          <w:rStyle w:val="FootnoteReference"/>
        </w:rPr>
        <w:footnoteRef/>
      </w:r>
      <w:r>
        <w:t xml:space="preserve"> Ross Terrill, </w:t>
      </w:r>
      <w:r>
        <w:rPr>
          <w:i/>
        </w:rPr>
        <w:t>R. H. Tawney and His Times: Socialism as Fellowship</w:t>
      </w:r>
      <w:r>
        <w:t xml:space="preserve"> </w:t>
      </w:r>
      <w:r w:rsidR="00811461">
        <w:t>(Harvard, Mass., 1973), pp.57-5</w:t>
      </w:r>
      <w:r w:rsidR="00826046">
        <w:t>9</w:t>
      </w:r>
      <w:r w:rsidR="00811461">
        <w:t>.</w:t>
      </w:r>
    </w:p>
  </w:footnote>
  <w:footnote w:id="4">
    <w:p w:rsidR="00DA7CCF" w:rsidRPr="00DA7CCF" w:rsidRDefault="00DA7CCF">
      <w:pPr>
        <w:pStyle w:val="FootnoteText"/>
      </w:pPr>
      <w:r>
        <w:rPr>
          <w:rStyle w:val="FootnoteReference"/>
        </w:rPr>
        <w:footnoteRef/>
      </w:r>
      <w:r>
        <w:t xml:space="preserve"> S. J. D. Green gives an excellent account of the slow change in church attitudes in his </w:t>
      </w:r>
      <w:r>
        <w:rPr>
          <w:i/>
        </w:rPr>
        <w:t>The Passing of Protestant England: Secularisation and Social Change c.1920-1960</w:t>
      </w:r>
      <w:r>
        <w:t xml:space="preserve"> (Cambridge, 2011).</w:t>
      </w:r>
    </w:p>
  </w:footnote>
  <w:footnote w:id="5">
    <w:p w:rsidR="00307D3E" w:rsidRPr="00754E8C" w:rsidRDefault="00307D3E">
      <w:pPr>
        <w:pStyle w:val="FootnoteText"/>
      </w:pPr>
      <w:r>
        <w:rPr>
          <w:rStyle w:val="FootnoteReference"/>
        </w:rPr>
        <w:footnoteRef/>
      </w:r>
      <w:r>
        <w:t xml:space="preserve"> See </w:t>
      </w:r>
      <w:r w:rsidR="00754E8C">
        <w:t xml:space="preserve">R. S. Deese, </w:t>
      </w:r>
      <w:r w:rsidR="00754E8C">
        <w:rPr>
          <w:i/>
        </w:rPr>
        <w:t>We Are Amphibians: Julian and Aldous Huxley on the Future of Our Species</w:t>
      </w:r>
      <w:r w:rsidR="00754E8C">
        <w:t xml:space="preserve"> (Oakland, California, 2015).</w:t>
      </w:r>
    </w:p>
  </w:footnote>
  <w:footnote w:id="6">
    <w:p w:rsidR="00FC2609" w:rsidRDefault="00FC2609">
      <w:pPr>
        <w:pStyle w:val="FootnoteText"/>
      </w:pPr>
      <w:r>
        <w:rPr>
          <w:rStyle w:val="FootnoteReference"/>
        </w:rPr>
        <w:footnoteRef/>
      </w:r>
      <w:r>
        <w:t xml:space="preserve"> Tawney, Burge Lecture: “The Western Political Tradition”. He spoke also of “the monstrous doctrine of national sovereignty”.</w:t>
      </w:r>
    </w:p>
  </w:footnote>
  <w:footnote w:id="7">
    <w:p w:rsidR="003F7F91" w:rsidRPr="003F7F91" w:rsidRDefault="003F7F91">
      <w:pPr>
        <w:pStyle w:val="FootnoteText"/>
      </w:pPr>
      <w:r>
        <w:rPr>
          <w:rStyle w:val="FootnoteReference"/>
        </w:rPr>
        <w:footnoteRef/>
      </w:r>
      <w:r>
        <w:t xml:space="preserve"> Gary Armstrong and Tim Gray, “</w:t>
      </w:r>
      <w:r w:rsidR="00895E02">
        <w:t>T</w:t>
      </w:r>
      <w:r>
        <w:t xml:space="preserve">hree Fallacies in the Essentialist Interpretation of the Political Thought of R. H. Tawney”, </w:t>
      </w:r>
      <w:r>
        <w:rPr>
          <w:i/>
        </w:rPr>
        <w:t>Journal of Political Ideologies</w:t>
      </w:r>
      <w:r>
        <w:t xml:space="preserve"> </w:t>
      </w:r>
      <w:proofErr w:type="gramStart"/>
      <w:r>
        <w:t>15</w:t>
      </w:r>
      <w:r w:rsidR="00895E02">
        <w:t xml:space="preserve"> </w:t>
      </w:r>
      <w:r>
        <w:t>,</w:t>
      </w:r>
      <w:proofErr w:type="gramEnd"/>
      <w:r w:rsidR="00FE1F6E">
        <w:t xml:space="preserve"> </w:t>
      </w:r>
      <w:r>
        <w:t xml:space="preserve">2 (2010), pp.161-174 [hereafter cited as A&amp;G]. They expanded this into a book: </w:t>
      </w:r>
      <w:r>
        <w:rPr>
          <w:i/>
        </w:rPr>
        <w:t>The Authentic Tawney: A New Interpretation of the Political Thought of R. H. Tawney</w:t>
      </w:r>
      <w:r>
        <w:t xml:space="preserve"> (Exeter, 2011).</w:t>
      </w:r>
    </w:p>
  </w:footnote>
  <w:footnote w:id="8">
    <w:p w:rsidR="00863216" w:rsidRPr="00700810" w:rsidRDefault="00863216">
      <w:pPr>
        <w:pStyle w:val="FootnoteText"/>
      </w:pPr>
      <w:r>
        <w:rPr>
          <w:rStyle w:val="FootnoteReference"/>
        </w:rPr>
        <w:footnoteRef/>
      </w:r>
      <w:r>
        <w:t xml:space="preserve"> </w:t>
      </w:r>
      <w:proofErr w:type="gramStart"/>
      <w:r>
        <w:t xml:space="preserve">Adam Seligman, “Tendentious Debunking”, </w:t>
      </w:r>
      <w:r>
        <w:rPr>
          <w:i/>
        </w:rPr>
        <w:t>The Review of Politics</w:t>
      </w:r>
      <w:r>
        <w:t xml:space="preserve"> </w:t>
      </w:r>
      <w:r w:rsidR="001B6873">
        <w:t xml:space="preserve">73, </w:t>
      </w:r>
      <w:bookmarkStart w:id="0" w:name="_GoBack"/>
      <w:bookmarkEnd w:id="0"/>
      <w:r w:rsidR="001B6873">
        <w:t>4 (2011)</w:t>
      </w:r>
      <w:r>
        <w:t>, pp.665-667.</w:t>
      </w:r>
      <w:proofErr w:type="gramEnd"/>
      <w:r w:rsidR="00193FC4">
        <w:t xml:space="preserve"> This is a review of Armstrong and </w:t>
      </w:r>
      <w:proofErr w:type="spellStart"/>
      <w:r w:rsidR="00193FC4">
        <w:t>Gray’s</w:t>
      </w:r>
      <w:proofErr w:type="spellEnd"/>
      <w:r w:rsidR="00193FC4">
        <w:t xml:space="preserve"> book </w:t>
      </w:r>
      <w:r w:rsidR="00700810">
        <w:rPr>
          <w:i/>
        </w:rPr>
        <w:t>The Authentic Tawney</w:t>
      </w:r>
      <w:r w:rsidR="00700810">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33F"/>
    <w:rsid w:val="00021429"/>
    <w:rsid w:val="0002269D"/>
    <w:rsid w:val="000E0586"/>
    <w:rsid w:val="00155D5B"/>
    <w:rsid w:val="00177039"/>
    <w:rsid w:val="0018152C"/>
    <w:rsid w:val="00193FC4"/>
    <w:rsid w:val="001B6873"/>
    <w:rsid w:val="001C4ABC"/>
    <w:rsid w:val="001F1F0C"/>
    <w:rsid w:val="002C2AB2"/>
    <w:rsid w:val="002C5CAB"/>
    <w:rsid w:val="00307D3E"/>
    <w:rsid w:val="00312DB4"/>
    <w:rsid w:val="00347A6E"/>
    <w:rsid w:val="003714E0"/>
    <w:rsid w:val="003D0178"/>
    <w:rsid w:val="003E6E12"/>
    <w:rsid w:val="003F7F91"/>
    <w:rsid w:val="004646AF"/>
    <w:rsid w:val="004F4C76"/>
    <w:rsid w:val="00556513"/>
    <w:rsid w:val="005C2C3C"/>
    <w:rsid w:val="005E62CC"/>
    <w:rsid w:val="005F643E"/>
    <w:rsid w:val="00611F92"/>
    <w:rsid w:val="00613869"/>
    <w:rsid w:val="0067688B"/>
    <w:rsid w:val="006C50DA"/>
    <w:rsid w:val="00700810"/>
    <w:rsid w:val="00705DD6"/>
    <w:rsid w:val="00724D34"/>
    <w:rsid w:val="00754E8C"/>
    <w:rsid w:val="0076379E"/>
    <w:rsid w:val="00782F65"/>
    <w:rsid w:val="00784BFF"/>
    <w:rsid w:val="007D7D10"/>
    <w:rsid w:val="00800DAA"/>
    <w:rsid w:val="00811461"/>
    <w:rsid w:val="00826046"/>
    <w:rsid w:val="008443D6"/>
    <w:rsid w:val="00863216"/>
    <w:rsid w:val="00872E33"/>
    <w:rsid w:val="008802D4"/>
    <w:rsid w:val="00895E02"/>
    <w:rsid w:val="00960E5D"/>
    <w:rsid w:val="0097525E"/>
    <w:rsid w:val="00A02006"/>
    <w:rsid w:val="00A35749"/>
    <w:rsid w:val="00A50357"/>
    <w:rsid w:val="00A534B1"/>
    <w:rsid w:val="00A55FFC"/>
    <w:rsid w:val="00A95204"/>
    <w:rsid w:val="00AA54D6"/>
    <w:rsid w:val="00AE157C"/>
    <w:rsid w:val="00AF2CD3"/>
    <w:rsid w:val="00B3437E"/>
    <w:rsid w:val="00B7723D"/>
    <w:rsid w:val="00B91B36"/>
    <w:rsid w:val="00BE5FD6"/>
    <w:rsid w:val="00C076D4"/>
    <w:rsid w:val="00C45AEA"/>
    <w:rsid w:val="00C83A6B"/>
    <w:rsid w:val="00CB6044"/>
    <w:rsid w:val="00CC1D14"/>
    <w:rsid w:val="00CD0DA3"/>
    <w:rsid w:val="00CE2526"/>
    <w:rsid w:val="00D62F5D"/>
    <w:rsid w:val="00DA7CCF"/>
    <w:rsid w:val="00DC533F"/>
    <w:rsid w:val="00DE4382"/>
    <w:rsid w:val="00E440A4"/>
    <w:rsid w:val="00E557D6"/>
    <w:rsid w:val="00E7517D"/>
    <w:rsid w:val="00E956B3"/>
    <w:rsid w:val="00E96649"/>
    <w:rsid w:val="00EA357A"/>
    <w:rsid w:val="00EF5A9A"/>
    <w:rsid w:val="00F20329"/>
    <w:rsid w:val="00F25711"/>
    <w:rsid w:val="00F270DB"/>
    <w:rsid w:val="00F92551"/>
    <w:rsid w:val="00FC2609"/>
    <w:rsid w:val="00FE1F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50DD14-14BC-4151-991D-A7FC02B4F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1563</TotalTime>
  <Pages>7</Pages>
  <Words>3406</Words>
  <Characters>19419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22</cp:revision>
  <cp:lastPrinted>2015-04-04T05:26:00Z</cp:lastPrinted>
  <dcterms:created xsi:type="dcterms:W3CDTF">2015-03-22T23:58:00Z</dcterms:created>
  <dcterms:modified xsi:type="dcterms:W3CDTF">2015-04-13T07:36:00Z</dcterms:modified>
</cp:coreProperties>
</file>