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23D" w:rsidRDefault="00556513" w:rsidP="00CE2526">
      <w:pPr>
        <w:jc w:val="center"/>
        <w:rPr>
          <w:b/>
        </w:rPr>
      </w:pPr>
      <w:r>
        <w:rPr>
          <w:b/>
        </w:rPr>
        <w:t>R. H.</w:t>
      </w:r>
      <w:r w:rsidR="00A50357">
        <w:rPr>
          <w:b/>
        </w:rPr>
        <w:t xml:space="preserve"> </w:t>
      </w:r>
      <w:r w:rsidR="00DC533F" w:rsidRPr="00CE2526">
        <w:rPr>
          <w:b/>
        </w:rPr>
        <w:t>Tawney’s Christian Idealism and Social Reform</w:t>
      </w:r>
    </w:p>
    <w:p w:rsidR="00CE2526" w:rsidRDefault="00CE2526" w:rsidP="00CE2526">
      <w:r>
        <w:t>R</w:t>
      </w:r>
      <w:r w:rsidR="00402F53">
        <w:t>ichard Henry</w:t>
      </w:r>
      <w:r>
        <w:t xml:space="preserve"> Tawney</w:t>
      </w:r>
      <w:r w:rsidR="00402F53">
        <w:t xml:space="preserve"> (1880-1962) is widely regarded as the great champion of ethical socialism and British Labour’s greatest theorist. He is remembered for those twentieth-century classics </w:t>
      </w:r>
      <w:r w:rsidR="00402F53">
        <w:rPr>
          <w:i/>
        </w:rPr>
        <w:t>The Acquisitive Society</w:t>
      </w:r>
      <w:r w:rsidR="00402F53">
        <w:t xml:space="preserve"> (1921), </w:t>
      </w:r>
      <w:r w:rsidR="00402F53">
        <w:rPr>
          <w:i/>
        </w:rPr>
        <w:t>Religion and the Rise of Capitalism</w:t>
      </w:r>
      <w:r w:rsidR="00402F53">
        <w:t xml:space="preserve"> (1926), and </w:t>
      </w:r>
      <w:r w:rsidR="00402F53">
        <w:rPr>
          <w:i/>
        </w:rPr>
        <w:t>Equality</w:t>
      </w:r>
      <w:r w:rsidR="00402F53">
        <w:t xml:space="preserve"> (1931). His</w:t>
      </w:r>
      <w:r>
        <w:t xml:space="preserve"> biographers</w:t>
      </w:r>
      <w:r w:rsidR="00556513">
        <w:t>,</w:t>
      </w:r>
      <w:r>
        <w:t xml:space="preserve"> and most serious students of his thought</w:t>
      </w:r>
      <w:r w:rsidR="00556513">
        <w:t>,</w:t>
      </w:r>
      <w:r>
        <w:t xml:space="preserve"> agree that his socialist and social reform ideas were founded upon a Christian moral basis. Recently, however, there have been some revisionist attempts to qualify this and to give a more secular, or humanistic, reading of him, especially in his later writings. I will here give some context that may be of use to those interested in this debate.</w:t>
      </w:r>
    </w:p>
    <w:p w:rsidR="00402F53" w:rsidRDefault="00402F53" w:rsidP="00CE2526">
      <w:pPr>
        <w:rPr>
          <w:b/>
        </w:rPr>
      </w:pPr>
      <w:r>
        <w:rPr>
          <w:b/>
        </w:rPr>
        <w:t>Tawney’s Life</w:t>
      </w:r>
    </w:p>
    <w:p w:rsidR="00316C32" w:rsidRDefault="0079378D" w:rsidP="00CE2526">
      <w:r w:rsidRPr="0079378D">
        <w:t>Tawney was born in Calcutta</w:t>
      </w:r>
      <w:r w:rsidR="001E4D8A">
        <w:t>, his father a Sanskrit scholar and senior educationist in the Indian civil service during the high point of British imperial power there. If he imbibed a sense of benign paternalism there, “Harry” was never an imperialist. As a boy he was educated at the elite Rugby School</w:t>
      </w:r>
      <w:r w:rsidR="00D40F05">
        <w:t>, still under the influence of its great master and ethicist Thomas Arnold, and then Balliol College, Oxford, where he mixed with Benjamin Jowett’s reform-minded intellectuals and liberals. Again he imbibed a sense of moral mission and gentlemanly obligation to encourage working-class education and tackle such problems as slums and poverty.</w:t>
      </w:r>
      <w:r w:rsidR="00D8499E">
        <w:t xml:space="preserve"> He took influences from across the spectrum: from the Oxford Movement followers, inspired by J. H. Newman’s moral mission; mainstream Anglicans such as his life-long Balliol friend William Temple, later Archbishop of Canterbury; Idealist philosophers such as T. H. Green and particularly his tutor, the reformist philosopher Edward </w:t>
      </w:r>
      <w:proofErr w:type="spellStart"/>
      <w:r w:rsidR="00D8499E">
        <w:t>Caird</w:t>
      </w:r>
      <w:proofErr w:type="spellEnd"/>
      <w:r w:rsidR="00D8499E">
        <w:t xml:space="preserve">; “New Liberals” such as Leonard </w:t>
      </w:r>
      <w:proofErr w:type="spellStart"/>
      <w:r w:rsidR="00D8499E">
        <w:t>Hobhouse</w:t>
      </w:r>
      <w:proofErr w:type="spellEnd"/>
      <w:r w:rsidR="00D8499E">
        <w:t xml:space="preserve"> and J. A. Hobson, wanting to give indi</w:t>
      </w:r>
      <w:r w:rsidR="00C60AD8">
        <w:t>vi</w:t>
      </w:r>
      <w:r w:rsidR="00D8499E">
        <w:t>dualistic liberalism a more humane face through moderate welfare measures;  the nineteenth century Christian Socialists and John Ruskin</w:t>
      </w:r>
      <w:r w:rsidR="00D40F05">
        <w:t xml:space="preserve"> </w:t>
      </w:r>
      <w:r w:rsidR="00D8499E">
        <w:t xml:space="preserve">; </w:t>
      </w:r>
      <w:r w:rsidR="00987710">
        <w:t xml:space="preserve">and </w:t>
      </w:r>
      <w:r w:rsidR="00D722A6">
        <w:t>the Labourite William Beveridge</w:t>
      </w:r>
      <w:r w:rsidR="004E2F5C">
        <w:t xml:space="preserve"> (another Balliol man)</w:t>
      </w:r>
      <w:r w:rsidR="00D722A6">
        <w:t xml:space="preserve"> who was to become the architect of the post-1945 National Health system (Tawney married William’s sister Jea</w:t>
      </w:r>
      <w:r w:rsidR="00987710">
        <w:t>n</w:t>
      </w:r>
      <w:r w:rsidR="00D722A6">
        <w:t>ette</w:t>
      </w:r>
      <w:r w:rsidR="00987710">
        <w:t xml:space="preserve"> in 1909</w:t>
      </w:r>
      <w:r w:rsidR="00D722A6">
        <w:t xml:space="preserve">). </w:t>
      </w:r>
    </w:p>
    <w:p w:rsidR="00402F53" w:rsidRDefault="00D722A6" w:rsidP="00CE2526">
      <w:r>
        <w:t xml:space="preserve">Tawney and Beveridge became involved in the Oxford-sponsored Christian activist centre at Toynbee Hall, whose mission under Canon Samuel Barnett was bring education and culture to the slum-dwellers of London’s East End. Tawney was eventually to repudiate the paternalism of bodies such as Toynbee Hall and Octavia Hill’s Charity Organization Society. He embraced worker self-help and self-education through agencies such as the Workers’ Education Association (WEA), with which he formed a crucially important life-time association. At the end of his life he considered that his major and noblest achievement was </w:t>
      </w:r>
      <w:r w:rsidR="004E2F5C">
        <w:t>his work with the WEA.</w:t>
      </w:r>
      <w:r w:rsidR="00AF78BA">
        <w:t xml:space="preserve"> Quite vital was his lifetime work in consolidating the adult education system in Britain.</w:t>
      </w:r>
      <w:r w:rsidR="00316C32">
        <w:t xml:space="preserve"> He taught adult tutorial classes in Lancashire and Staffordshire from 1908 to 1914, learning about working class life at the coalface so to say. He enlisted as a humble private in his local Manchester regiment in 1914 and was badly wounded in the Somme offensive in 1916. After the war he was immensely active in the cause of educational reform, writing influential pamphlets and serving on numerous committees, the net outcome being the important Education Acts of 1918 and </w:t>
      </w:r>
      <w:r w:rsidR="00CF3E57">
        <w:t>1944</w:t>
      </w:r>
      <w:r w:rsidR="00A804DA">
        <w:t>. The latter was</w:t>
      </w:r>
      <w:r w:rsidR="00CF3E57">
        <w:t xml:space="preserve"> based</w:t>
      </w:r>
      <w:r w:rsidR="00316C32">
        <w:t xml:space="preserve"> on</w:t>
      </w:r>
      <w:r w:rsidR="00CF3E57">
        <w:t xml:space="preserve"> </w:t>
      </w:r>
      <w:r w:rsidR="00A804DA">
        <w:t>Charles</w:t>
      </w:r>
      <w:r w:rsidR="00A92597">
        <w:t xml:space="preserve"> </w:t>
      </w:r>
      <w:r w:rsidR="00A804DA">
        <w:t>Trevelyan’s</w:t>
      </w:r>
      <w:r w:rsidR="00CF3E57">
        <w:t xml:space="preserve"> 1926 report</w:t>
      </w:r>
      <w:r w:rsidR="00A804DA">
        <w:t>, hugely influenced by Tawney, recommending universal primary and secondary education. Tawney was maddened that politicians took so long to implement it</w:t>
      </w:r>
      <w:r w:rsidR="00CF3E57">
        <w:t>.</w:t>
      </w:r>
    </w:p>
    <w:p w:rsidR="00A804DA" w:rsidRPr="0079378D" w:rsidRDefault="00170604" w:rsidP="00CE2526">
      <w:r>
        <w:t>Tawney had</w:t>
      </w:r>
      <w:r w:rsidR="00A804DA">
        <w:t xml:space="preserve"> shifted from Manchester to London in 1913, and in 1919 was appointed lecturer at the London School of Economic (LSE) under the headship of the socialist thinker and activist Harold </w:t>
      </w:r>
      <w:r w:rsidR="00A804DA">
        <w:lastRenderedPageBreak/>
        <w:t>Laski. Tawney had done a stint at LSE before the war directing the Rata Tata Foundation</w:t>
      </w:r>
      <w:r w:rsidR="000403ED">
        <w:t>, studying the causes of poverty. Tawney stayed at LSE for the rest of his working life, appointed professor of economic history in 1931 and retiring in 1949, by which date he saw the implementation by the Atlee Labour government of much of the welfarist reform he and Beveridge had so strenuously striven for in the inter-war years. Tawney has been widely regarded as the</w:t>
      </w:r>
      <w:r w:rsidR="00732CE6">
        <w:t xml:space="preserve"> leading</w:t>
      </w:r>
      <w:r w:rsidR="000403ED">
        <w:t xml:space="preserve"> theoretician of</w:t>
      </w:r>
      <w:r w:rsidR="00732CE6">
        <w:t xml:space="preserve"> the British Labour movement at this time, as well as being a key publicist and adviser in the cause. He produced a plenitude of policy reports and pamphlets. </w:t>
      </w:r>
      <w:r w:rsidR="00732CE6">
        <w:rPr>
          <w:i/>
        </w:rPr>
        <w:t>Labour and the Nation</w:t>
      </w:r>
      <w:r w:rsidR="00732CE6">
        <w:t xml:space="preserve"> (1928) and </w:t>
      </w:r>
      <w:r w:rsidR="00732CE6">
        <w:rPr>
          <w:i/>
        </w:rPr>
        <w:t>For Socialism and Peace</w:t>
      </w:r>
      <w:r w:rsidR="00732CE6">
        <w:t xml:space="preserve"> (1934) are two examples. His scholarly reputation was built</w:t>
      </w:r>
      <w:r w:rsidR="00EF069A">
        <w:t xml:space="preserve"> </w:t>
      </w:r>
      <w:r w:rsidR="00732CE6">
        <w:t xml:space="preserve">on his widely influential books </w:t>
      </w:r>
      <w:r w:rsidR="00732CE6">
        <w:rPr>
          <w:i/>
        </w:rPr>
        <w:t>The Acquisitive Society</w:t>
      </w:r>
      <w:r w:rsidR="00732CE6">
        <w:t xml:space="preserve"> (1921)</w:t>
      </w:r>
      <w:r w:rsidR="00987710">
        <w:t xml:space="preserve"> attacking capitalist greed</w:t>
      </w:r>
      <w:r w:rsidR="00732CE6">
        <w:t xml:space="preserve">; </w:t>
      </w:r>
      <w:r w:rsidR="00732CE6">
        <w:rPr>
          <w:i/>
        </w:rPr>
        <w:t>Religion and the Rise of Capitalism</w:t>
      </w:r>
      <w:r w:rsidR="00732CE6">
        <w:t xml:space="preserve"> (1926) studying the nexus between new economic forces and religious social thought in the sixteenth and seventeenth centuries; </w:t>
      </w:r>
      <w:r w:rsidR="00732CE6">
        <w:rPr>
          <w:i/>
        </w:rPr>
        <w:t>Equality</w:t>
      </w:r>
      <w:r w:rsidR="00732CE6">
        <w:t xml:space="preserve"> (1931), which proposed solving the inequalities of capitalism through such measures as progressive taxation</w:t>
      </w:r>
      <w:r w:rsidR="00EF069A">
        <w:t>, public ownership and a welfare safety net for the poor; and less well known later works such as</w:t>
      </w:r>
      <w:r w:rsidR="00EF069A">
        <w:rPr>
          <w:i/>
        </w:rPr>
        <w:t xml:space="preserve"> The Attack</w:t>
      </w:r>
      <w:r w:rsidR="00EF069A">
        <w:t xml:space="preserve"> (1953) and </w:t>
      </w:r>
      <w:r w:rsidR="00EF069A">
        <w:rPr>
          <w:i/>
        </w:rPr>
        <w:t>The Radical Tradition</w:t>
      </w:r>
      <w:r w:rsidR="00EF069A">
        <w:t xml:space="preserve"> (1964).</w:t>
      </w:r>
      <w:r w:rsidR="00732CE6">
        <w:t xml:space="preserve"> </w:t>
      </w:r>
      <w:r w:rsidR="000403ED">
        <w:t xml:space="preserve"> </w:t>
      </w:r>
    </w:p>
    <w:p w:rsidR="00402F53" w:rsidRDefault="00170604" w:rsidP="00CE2526">
      <w:r w:rsidRPr="00170604">
        <w:t>Tawney visited</w:t>
      </w:r>
      <w:r>
        <w:t xml:space="preserve"> China in 1931-2 and in the later thirties became alarmed at the threat of Japanese expansionism.  A consistent critic of both Fascist and Soviet totalitarianism, he never joined the leftist pacifist movements </w:t>
      </w:r>
      <w:r w:rsidR="00A77A92">
        <w:t xml:space="preserve">that </w:t>
      </w:r>
      <w:r>
        <w:t xml:space="preserve">sprang up at the time. He was at heart both a realistic pragmatist and a patriot. </w:t>
      </w:r>
      <w:r>
        <w:rPr>
          <w:rStyle w:val="FootnoteReference"/>
        </w:rPr>
        <w:footnoteReference w:id="1"/>
      </w:r>
      <w:r>
        <w:t xml:space="preserve"> </w:t>
      </w:r>
      <w:r w:rsidR="00D94226">
        <w:t xml:space="preserve">He was dismayed by the factionalism within the Labour party and movement during the thirties, but his personal influence upon younger leaders would bear fruit in the post-war period. He staunchly supported the war effort against Hitler, recognising that the war was also an opportunity to inspire a widespread campaign for a far-reaching programme of social and economic reform. It was a chance to achieve greater social justice for all. He witnessed many of his ideas expressed in the historic Beveridge Report of 1942, the basis of the welfare state. </w:t>
      </w:r>
      <w:r w:rsidR="00DB29A8">
        <w:t xml:space="preserve">Tawney’s later years were filled with activities and honours. His last book was a study of the Jacobean trader Lionel </w:t>
      </w:r>
      <w:proofErr w:type="spellStart"/>
      <w:r w:rsidR="00DB29A8">
        <w:t>Cranfield</w:t>
      </w:r>
      <w:proofErr w:type="spellEnd"/>
      <w:r w:rsidR="00DB29A8">
        <w:t>, earl of Middlesex. He was buried in Highgate cemetery, an uneasy neighbour of Karl Marx.</w:t>
      </w:r>
    </w:p>
    <w:p w:rsidR="00DB29A8" w:rsidRDefault="00DB29A8" w:rsidP="00CE2526">
      <w:r>
        <w:t>In his splendid recent biography of Tawney, Lawrence Goldman uses new materials and with fine discrimination analyses aspect of his thought and life.</w:t>
      </w:r>
      <w:r w:rsidR="00AB6E4B">
        <w:rPr>
          <w:rStyle w:val="FootnoteReference"/>
        </w:rPr>
        <w:footnoteReference w:id="2"/>
      </w:r>
      <w:r w:rsidR="00AB7B41">
        <w:t xml:space="preserve"> He emphasises Tawney’</w:t>
      </w:r>
      <w:r w:rsidR="00AB6E4B">
        <w:t>s</w:t>
      </w:r>
      <w:r w:rsidR="00AB7B41">
        <w:t xml:space="preserve"> faith in a morally-based, communalist, voluntarist and free socialism; his belief in grass-roots democracy; </w:t>
      </w:r>
      <w:r w:rsidR="00987710">
        <w:t xml:space="preserve">and </w:t>
      </w:r>
      <w:r w:rsidR="00AB7B41">
        <w:t xml:space="preserve">his faith in the essential virtues and capacity for self-improvement of ordinary people, </w:t>
      </w:r>
      <w:r w:rsidR="00D64E66">
        <w:t xml:space="preserve">if they were </w:t>
      </w:r>
      <w:r w:rsidR="00AB7B41">
        <w:t>given the proper opportunities through education and a just social system. He was not as romantic about this as writers like G. K. Chesterton, partly because of his experience of fellow Tommies at the Somme.</w:t>
      </w:r>
    </w:p>
    <w:p w:rsidR="00AB7B41" w:rsidRDefault="00AB7B41" w:rsidP="00CE2526">
      <w:r>
        <w:t xml:space="preserve">Goldman, unlike some Tawney admirers, recognises the failings in Tawney, the thinker and the man. He lacked philosophical rigour, avoided definitions, was selective in subject matter, impatient of </w:t>
      </w:r>
      <w:r>
        <w:lastRenderedPageBreak/>
        <w:t>alternative perspectives, while his economics was vulnerable to attack as narrow on class differentiation, ignored consumption and was flawed on human psychology. He was weak on women’s rights and race. A workaholic, he found it difficult to give out warmth and love. This resulted in an unfulfilling (and possibly sexless) marriage to his loyal supporter and wife Jeanette</w:t>
      </w:r>
      <w:r w:rsidR="00AB6E4B">
        <w:t xml:space="preserve"> (a woman herself not without flaws, such as a spending propensity). Many however attested to Tawney’s essential nobility of character: “The best man I have ever known” said Hugh Gaitskell at his funeral.</w:t>
      </w:r>
    </w:p>
    <w:p w:rsidR="00AB6E4B" w:rsidRDefault="00AB6E4B" w:rsidP="00CE2526">
      <w:r>
        <w:rPr>
          <w:b/>
        </w:rPr>
        <w:t>Tawney’s Ideas</w:t>
      </w:r>
    </w:p>
    <w:p w:rsidR="00CB6044" w:rsidRDefault="008443D6" w:rsidP="00CE2526">
      <w:r>
        <w:t xml:space="preserve">There seems pretty general agreement that Tawney was greatly influenced by the Christian ethics he absorbed growing up, including </w:t>
      </w:r>
      <w:r w:rsidR="00611F92">
        <w:t>1850s Christian Socialism and Charles Gore’s social Christianity; and also</w:t>
      </w:r>
      <w:r>
        <w:t xml:space="preserve"> by other currents of thought that flourished in the late nineteenth and early twentieth century. They included </w:t>
      </w:r>
      <w:r w:rsidR="00611F92">
        <w:t>Ruskin’s ethical economics (in one sense he was merely elaborating Ruskin’s dictum that “there is no wealth but life”, redefining rather than redistributing wealth). Another key force upon him was British</w:t>
      </w:r>
      <w:r>
        <w:t xml:space="preserve"> Idealism</w:t>
      </w:r>
      <w:r w:rsidR="00611F92">
        <w:t xml:space="preserve"> (a philosophy that he encountered </w:t>
      </w:r>
      <w:r w:rsidR="005514F9">
        <w:t xml:space="preserve">directly </w:t>
      </w:r>
      <w:r w:rsidR="00611F92">
        <w:t xml:space="preserve">from his Oxford teacher Edward </w:t>
      </w:r>
      <w:proofErr w:type="spellStart"/>
      <w:r w:rsidR="00611F92">
        <w:t>Caird</w:t>
      </w:r>
      <w:proofErr w:type="spellEnd"/>
      <w:r w:rsidR="00611F92">
        <w:t xml:space="preserve">). Goldman vividly describes the “quasi-religious” milieu that spawned the organised Labour movement from the 1880s. Tawney was a product of this milieu. </w:t>
      </w:r>
      <w:r w:rsidR="00CD0DA3">
        <w:t>H</w:t>
      </w:r>
      <w:r w:rsidR="00611F92">
        <w:t>e was to become something of a lone wolf in continuing this tradition well into the next century</w:t>
      </w:r>
      <w:r w:rsidR="00F25711">
        <w:t>. Goldman recognises the undoctrinaire religious foundation of Tawney’s thought (a fact commented upon by his friends and contemporaries. Beatrice Webb found it very puzzling</w:t>
      </w:r>
      <w:r w:rsidR="00261EFB">
        <w:rPr>
          <w:rStyle w:val="FootnoteReference"/>
        </w:rPr>
        <w:footnoteReference w:id="3"/>
      </w:r>
      <w:r w:rsidR="00F25711">
        <w:t>). Goldman himself is revisionist on one key theme: he shows how Tawney’s early idealistic and radical personal socialism evolved into a more instrumentalist, less original, variety – consistent with the twentieth century Labour policy of state socialism. However Goldman feels, with reason, that the “authentic” Tawney – who kept re-appearing to the end – was the Christian egalitarian rather than the secular state socialist. Christian ethics continued to be fundamental to him</w:t>
      </w:r>
      <w:r w:rsidR="00AF2CD3">
        <w:t>, even though</w:t>
      </w:r>
      <w:r w:rsidR="00F25711">
        <w:t xml:space="preserve"> he was more cautious in publicly espousing it in an increasingly secular age</w:t>
      </w:r>
      <w:r w:rsidR="00AF2CD3">
        <w:t>.</w:t>
      </w:r>
      <w:r w:rsidR="00AF2CD3">
        <w:rPr>
          <w:rStyle w:val="FootnoteReference"/>
        </w:rPr>
        <w:footnoteReference w:id="4"/>
      </w:r>
    </w:p>
    <w:p w:rsidR="00CE2526" w:rsidRDefault="00CB6044" w:rsidP="00CE2526">
      <w:r>
        <w:t>Tawney quite early on justified his social democratic ideals on absolutist Christian values, rejecting ethical philosophies based on relativistic, cultural or utilitarian grounds. In a diary not published until</w:t>
      </w:r>
      <w:r w:rsidR="00800DAA">
        <w:t xml:space="preserve"> 1972, ten years</w:t>
      </w:r>
      <w:r>
        <w:t xml:space="preserve"> after his death</w:t>
      </w:r>
      <w:r w:rsidR="00800DAA">
        <w:t xml:space="preserve">, under the title </w:t>
      </w:r>
      <w:r w:rsidR="00800DAA">
        <w:rPr>
          <w:i/>
        </w:rPr>
        <w:t>Commonplace Book</w:t>
      </w:r>
      <w:r w:rsidR="00800DAA">
        <w:t xml:space="preserve">, we can find key guides to his mainstream thought. He saw the issue of reform of society as a moral issue, not some expedient or politically practical solution to grievances and problems within society. For example: “The industrial problem is a moral problem, a problem of learning as a community to reprobate certain courses of conduct and to approve others… The rule is clear, </w:t>
      </w:r>
      <w:r w:rsidR="00800DAA">
        <w:rPr>
          <w:i/>
        </w:rPr>
        <w:t xml:space="preserve">no </w:t>
      </w:r>
      <w:r w:rsidR="00800DAA">
        <w:t xml:space="preserve">convenience can justify </w:t>
      </w:r>
      <w:r w:rsidR="00800DAA">
        <w:rPr>
          <w:i/>
        </w:rPr>
        <w:t>any</w:t>
      </w:r>
      <w:r w:rsidR="00A02006">
        <w:t xml:space="preserve"> oppression</w:t>
      </w:r>
      <w:r w:rsidR="00800DAA">
        <w:rPr>
          <w:i/>
        </w:rPr>
        <w:t xml:space="preserve"> </w:t>
      </w:r>
      <w:r w:rsidR="00800DAA">
        <w:t xml:space="preserve">… One </w:t>
      </w:r>
      <w:r w:rsidR="00800DAA">
        <w:lastRenderedPageBreak/>
        <w:t>may not do evil that good should come… The essence of all morality is this: to believe that every human being is of infinite importance, and therefore that no consideration of expediency can justify the oppression of one by another. But to believe this it is necessary</w:t>
      </w:r>
      <w:r w:rsidR="00F25711">
        <w:t xml:space="preserve"> </w:t>
      </w:r>
      <w:r w:rsidR="00A02006">
        <w:t>to believe in God… The social order is judged and condemned by a power transcending it.”</w:t>
      </w:r>
      <w:r w:rsidR="00A02006">
        <w:rPr>
          <w:rStyle w:val="FootnoteReference"/>
        </w:rPr>
        <w:footnoteReference w:id="5"/>
      </w:r>
    </w:p>
    <w:p w:rsidR="00EA357A" w:rsidRDefault="00782F65" w:rsidP="00CE2526">
      <w:r>
        <w:t>As Alistair Duff remarks, from a basis of Christian socialism, and under the influence of people such as Charles Gore and the Anglican prelate and his lifetime friend William Temple, “Tawney diligently extracted a reformist politics comprising a potent blend of the core left-wing values of freedom, equality and fraternity” (Duff, p.406). Tawney attacked the amoral profiteering</w:t>
      </w:r>
      <w:r w:rsidR="00C45AEA">
        <w:t xml:space="preserve"> basis of classical capitalism in </w:t>
      </w:r>
      <w:r w:rsidR="00045B84">
        <w:t xml:space="preserve">his iconic </w:t>
      </w:r>
      <w:r w:rsidR="00C45AEA">
        <w:t xml:space="preserve">books </w:t>
      </w:r>
      <w:r w:rsidR="00C45AEA">
        <w:rPr>
          <w:i/>
        </w:rPr>
        <w:t>The Acquisitive Society</w:t>
      </w:r>
      <w:r w:rsidR="00045B84">
        <w:rPr>
          <w:i/>
        </w:rPr>
        <w:t>,</w:t>
      </w:r>
      <w:r w:rsidR="00C45AEA">
        <w:t xml:space="preserve"> </w:t>
      </w:r>
      <w:r w:rsidR="00C45AEA">
        <w:rPr>
          <w:i/>
        </w:rPr>
        <w:t>Religion and the Rise of Capitalis</w:t>
      </w:r>
      <w:r w:rsidR="00045B84">
        <w:rPr>
          <w:i/>
        </w:rPr>
        <w:t>m</w:t>
      </w:r>
      <w:r w:rsidR="00C45AEA">
        <w:t xml:space="preserve"> and </w:t>
      </w:r>
      <w:r w:rsidR="00C45AEA">
        <w:rPr>
          <w:i/>
        </w:rPr>
        <w:t>Equality</w:t>
      </w:r>
      <w:r w:rsidR="00C45AEA">
        <w:t>. He put forward an older alternative of communal service, a morally-based voluntarist and free socialism, which, in Goldman’s words, called for a reform of the economy to meet collective needs and for a re-ordering of human values that would make economic activity a means to life rather than an end in itself.</w:t>
      </w:r>
      <w:r w:rsidR="00705DD6">
        <w:t xml:space="preserve"> There are echoes here of Ruskin of course, and other thinkers</w:t>
      </w:r>
      <w:r w:rsidR="00EA357A">
        <w:t xml:space="preserve"> </w:t>
      </w:r>
      <w:r w:rsidR="00705DD6">
        <w:t>– such as G. K. Chesterton –</w:t>
      </w:r>
      <w:r w:rsidR="00FE1F6E">
        <w:t xml:space="preserve"> agreed,</w:t>
      </w:r>
      <w:r w:rsidR="00705DD6">
        <w:t xml:space="preserve"> </w:t>
      </w:r>
      <w:r w:rsidR="00EA357A">
        <w:t>sharing</w:t>
      </w:r>
      <w:r w:rsidR="00705DD6">
        <w:t xml:space="preserve"> a touch of romantic nostalgia for a lost medieval past. </w:t>
      </w:r>
    </w:p>
    <w:p w:rsidR="005E62CC" w:rsidRDefault="00705DD6" w:rsidP="00CE2526">
      <w:r>
        <w:t xml:space="preserve">Tawney’s egalitarianism was frankly based, as seen above, on the model of early Christianity, on Christ’s teaching of the essential equality of all humans. As Goldman indicates, as late as 1953 (in </w:t>
      </w:r>
      <w:r>
        <w:rPr>
          <w:i/>
        </w:rPr>
        <w:t>The Attack</w:t>
      </w:r>
      <w:r>
        <w:t>) and 1954 (</w:t>
      </w:r>
      <w:r>
        <w:rPr>
          <w:i/>
        </w:rPr>
        <w:t>Christian Politics</w:t>
      </w:r>
      <w:r>
        <w:t>)</w:t>
      </w:r>
      <w:r w:rsidR="00312DB4">
        <w:t>,</w:t>
      </w:r>
      <w:r>
        <w:t xml:space="preserve"> Tawney</w:t>
      </w:r>
      <w:r w:rsidR="005E62CC">
        <w:t xml:space="preserve"> reiterated his youthful faith that human equality derived from the divine</w:t>
      </w:r>
      <w:r w:rsidR="00EA357A">
        <w:t>:</w:t>
      </w:r>
      <w:r w:rsidR="005E62CC">
        <w:t xml:space="preserve"> “Here he returned to the argument of the </w:t>
      </w:r>
      <w:r w:rsidR="005E62CC">
        <w:rPr>
          <w:i/>
        </w:rPr>
        <w:t>Commonplace Book</w:t>
      </w:r>
      <w:r w:rsidR="005E62CC">
        <w:t xml:space="preserve"> that man’s humanity is God-given and shared with the deity, and that compared with this, all social, national and racial differences are simply trivial and by their nature ‘anti-Christian’ because they are a denial of God’s intent and purpose” (Goldman, p.195).</w:t>
      </w:r>
    </w:p>
    <w:p w:rsidR="005E62CC" w:rsidRPr="002C5CAB" w:rsidRDefault="002C5CAB" w:rsidP="00CE2526">
      <w:r>
        <w:t xml:space="preserve">Tawney wrote in </w:t>
      </w:r>
      <w:r>
        <w:rPr>
          <w:i/>
        </w:rPr>
        <w:t>Christian Politics</w:t>
      </w:r>
      <w:r>
        <w:t>:</w:t>
      </w:r>
    </w:p>
    <w:p w:rsidR="002C5CAB" w:rsidRDefault="002E403F" w:rsidP="00CE2526">
      <w:r>
        <w:t>“</w:t>
      </w:r>
      <w:r w:rsidR="005E62CC">
        <w:t>The necessary corollary, therefore, of the Christian conception of man is a strong sense of equality.      Equality does not mean that all men are equally clever or equally virtuous, any more than they are equally tall or equally fat. It means that all men, because they are men, are of equal value…The essential point – the essence of equality – is that such diversities must be based, not on accidents of class, income, sex, colour or nationality, but on the real requirements of the different members of the human family</w:t>
      </w:r>
      <w:r>
        <w:t>”</w:t>
      </w:r>
      <w:r w:rsidR="002C5CAB">
        <w:t xml:space="preserve"> (p.13).</w:t>
      </w:r>
    </w:p>
    <w:p w:rsidR="00D62F5D" w:rsidRDefault="002C5CAB" w:rsidP="00CE2526">
      <w:r>
        <w:t>His educational reforms wer</w:t>
      </w:r>
      <w:r w:rsidR="00312DB4">
        <w:t>e based on the same assumptions.</w:t>
      </w:r>
      <w:r>
        <w:t xml:space="preserve"> Equality “denoted </w:t>
      </w:r>
      <w:proofErr w:type="gramStart"/>
      <w:r>
        <w:t>neither equality</w:t>
      </w:r>
      <w:proofErr w:type="gramEnd"/>
      <w:r>
        <w:t xml:space="preserve"> of opportunity nor equality of outcome but an equality of status and respect. Since we are all equal in the sight of God, argued Tawney, we should be equal in each other’s valuations and behaviour. All should be treated justly, all respected equally and have their needs met; but because we differ, our needs must be met in different ways…. Arguably this is the authentic Tawney, the Christian egalitarian rather than the secular state socialist”</w:t>
      </w:r>
      <w:r w:rsidR="00EA357A">
        <w:t xml:space="preserve"> (Goldman, p.196).</w:t>
      </w:r>
    </w:p>
    <w:p w:rsidR="00556513" w:rsidRDefault="00D62F5D" w:rsidP="00CE2526">
      <w:pPr>
        <w:pBdr>
          <w:bottom w:val="single" w:sz="6" w:space="1" w:color="auto"/>
        </w:pBdr>
      </w:pPr>
      <w:r>
        <w:t xml:space="preserve">You could argue that Tawney’s critique of capitalism was essentially ethical rather than – or, better, as well as – structuralist.  The Marxist critique was of course basically structuralist. Although the Marxists used ethical language to deplore the injustices and exploitation of capitalism, they ultimately saw moral systems as cultural superstructures build upon the fundamental reality of the </w:t>
      </w:r>
      <w:r>
        <w:lastRenderedPageBreak/>
        <w:t xml:space="preserve">class structure of society. Remove class distinctions through the revolution, they believed, and an ethical society would automatically emerge. Tawney disagreed. He embraced much of the Marxist criticism of capitalism, but he wanted first and foremost a spiritual or moral regeneration, from which would follow fairer social outcomes. His deepest outrage about the existing industrialist society was that it was “a moral labyrinth”, a new version of slavery, treating human beings as property, as cogs in a colossal </w:t>
      </w:r>
      <w:r w:rsidR="001F1F0C">
        <w:t xml:space="preserve">machine “which grinds wealth out of immortal spirits” (as he wrote in an article of 1914). As Duff aptly says: “For Tawney… even Marxists were ‘not revolutionary enough’, since all they seemed to want was a volte-face in the class distribution of resources, the restoration of the booty, rather than a spiritual emancipation from enslavement to physical wealth… This moralist was seeking not just a community of freedom and equality but also a new overall social consciousness, a post-materialist society” (p.407). </w:t>
      </w:r>
    </w:p>
    <w:p w:rsidR="00782F65" w:rsidRDefault="001F1F0C" w:rsidP="00CE2526">
      <w:pPr>
        <w:pBdr>
          <w:bottom w:val="single" w:sz="6" w:space="1" w:color="auto"/>
        </w:pBdr>
      </w:pPr>
      <w:r>
        <w:t xml:space="preserve">Duff </w:t>
      </w:r>
      <w:r w:rsidR="00872E33">
        <w:t>goes on</w:t>
      </w:r>
      <w:r>
        <w:t xml:space="preserve"> to admit the serious weaknesses in Ta</w:t>
      </w:r>
      <w:r w:rsidR="00312DB4">
        <w:t>wney’s brand of guild socialism -</w:t>
      </w:r>
      <w:r>
        <w:t xml:space="preserve"> which was popular at the time and a react</w:t>
      </w:r>
      <w:r w:rsidR="00872E33">
        <w:t>ion against the more mechanistic brands of socialism around</w:t>
      </w:r>
      <w:r w:rsidR="00312DB4">
        <w:t xml:space="preserve"> -</w:t>
      </w:r>
      <w:r w:rsidR="00872E33">
        <w:t xml:space="preserve"> but  a return to handcraft industries and small scale local economies was hardly a practical option in an increasingly globalised system. Tawney also tended to demonise private enterprise, markets and the profit motive. However the important dimension to his thought was the pre-eminence of the ethical category: “Tawney was always clear that public ownership or control was only a means to an end, only half the story of social justice. The other half was egalitarianism… In this latter regard, Tawney represents the high watermark of Christian socialism, perhaps even the ‘crowning figure’ of ethical socialism generally…</w:t>
      </w:r>
      <w:r w:rsidR="00021429">
        <w:t>At one level, Tawney articulated equality as a logical extension of political democracy… However, egalitarianism for Tawney went far beyond legal or democratic categories, to express a ‘spiritual relation’[to strengthen the common humanity that united people rather than the class difference that divided them]….When viewed in such a searing light, class divisions are anathema, shallow man-made appearances militating against a divinely instituted order of things. This is egalitarianism not only as economic justice, nor merely as ethical idealism, but as metaphysics… This Christian-inspired vision of brotherhood is at the heart of Tawney’s position: it is indeed ‘socialism as fellowship’” (Duff, p.410).</w:t>
      </w:r>
      <w:r w:rsidR="00D62F5D">
        <w:t xml:space="preserve"> </w:t>
      </w:r>
      <w:r w:rsidR="002C5CAB">
        <w:t xml:space="preserve">  </w:t>
      </w:r>
      <w:r w:rsidR="00782F65">
        <w:t xml:space="preserve">  </w:t>
      </w:r>
    </w:p>
    <w:p w:rsidR="00F270DB" w:rsidRDefault="00F270DB" w:rsidP="00F270DB">
      <w:r>
        <w:t>Tawney’s biographers show his religious belief changing from youthful interest in theology to a more generalised, non-doctrinaire, socially-oriented stance. Ross Terrill says this in his penetrating life and times of 1973:</w:t>
      </w:r>
    </w:p>
    <w:p w:rsidR="006C50DA" w:rsidRDefault="00F270DB" w:rsidP="00F270DB">
      <w:r>
        <w:t xml:space="preserve">“During the 1920s he was a discriminating satellite in the outer orbit of the Church of England. When he wrote on religion his topic was the church and the social order, no longer doctrine, religious feelings, and the ultimate grounds of Christianity, as in his pre-war diary [the </w:t>
      </w:r>
      <w:r>
        <w:rPr>
          <w:i/>
        </w:rPr>
        <w:t>Commonplace Book</w:t>
      </w:r>
      <w:r>
        <w:t>]. The basic issues were for him already settled… His beliefs were uncomplicated</w:t>
      </w:r>
      <w:r w:rsidR="00811461">
        <w:t xml:space="preserve">… From 1917, he and Temple were active in the ‘Life and Liberty Movement’, a campaign to revitalize the church for new social tasks. At the end of the war, he drafted, with Bishop E. S. Talbot and others, the report on ‘Christianity &amp; Industrial Problems’ of the fifth of the archbishops of Canterbury’s committees of inquiry… In 1924 he took part, also with vigour and some impact, in the important Conferences on Politics, Economics and Citizenship (COPEC). Tawney was a religious man and a social moralist more than he was a churchman, even at this time. His intimacy with Temple no doubt kept him nearer to the organized church than he would otherwise have been. Both of them figures in the </w:t>
      </w:r>
      <w:proofErr w:type="gramStart"/>
      <w:r w:rsidR="00811461">
        <w:t xml:space="preserve">WEA </w:t>
      </w:r>
      <w:r w:rsidR="00826046">
        <w:t>,</w:t>
      </w:r>
      <w:proofErr w:type="gramEnd"/>
      <w:r w:rsidR="00826046">
        <w:t xml:space="preserve"> both concerned with the church and the social order, they often talked to each other about things that mattered most to them… </w:t>
      </w:r>
      <w:r w:rsidR="00A35749">
        <w:t xml:space="preserve">[Temple would sometimes talk the night away at Tawney’s house at </w:t>
      </w:r>
      <w:r w:rsidR="00A35749">
        <w:lastRenderedPageBreak/>
        <w:t xml:space="preserve">Mecklenburg Square]. </w:t>
      </w:r>
      <w:proofErr w:type="gramStart"/>
      <w:r w:rsidR="00826046">
        <w:t>Thus the informality of the tie between these two quite different Rugby old boys.</w:t>
      </w:r>
      <w:proofErr w:type="gramEnd"/>
      <w:r w:rsidR="00826046">
        <w:t xml:space="preserve"> The mutual influence was great. Intellectually, perhaps Tawney was an even greater influence upon Temple than Temple upon him, partly because Temple was more eager and able to rummage in Tawney’s field of social questions than Tawney was to tackle Temple’s discipline of theology</w:t>
      </w:r>
      <w:r>
        <w:t>”.</w:t>
      </w:r>
      <w:r>
        <w:rPr>
          <w:rStyle w:val="FootnoteReference"/>
        </w:rPr>
        <w:footnoteReference w:id="6"/>
      </w:r>
    </w:p>
    <w:p w:rsidR="00F270DB" w:rsidRDefault="00826046" w:rsidP="00F270DB">
      <w:r>
        <w:t xml:space="preserve">Some Anglican historians have </w:t>
      </w:r>
      <w:r w:rsidR="00DA7CCF">
        <w:t>described</w:t>
      </w:r>
      <w:r>
        <w:t xml:space="preserve"> Tawney’s behind</w:t>
      </w:r>
      <w:r w:rsidR="00DA7CCF">
        <w:t>-</w:t>
      </w:r>
      <w:r>
        <w:t xml:space="preserve"> the</w:t>
      </w:r>
      <w:r w:rsidR="00DA7CCF">
        <w:t>-</w:t>
      </w:r>
      <w:r>
        <w:t xml:space="preserve"> scenes influence, in conjunction with the powerful William Temple, as a major force and dynamic in Anglican developments at this time. He continued to be active for a long time in committee and conference work in English Christian affairs.</w:t>
      </w:r>
      <w:r w:rsidR="006C50DA">
        <w:t xml:space="preserve"> </w:t>
      </w:r>
      <w:r w:rsidR="003D0178">
        <w:t>In 1937, for example, he took part in the Oxford Conference on Church and Society.</w:t>
      </w:r>
      <w:r w:rsidR="00A35749">
        <w:t xml:space="preserve"> More research needs to be done on the Tawney-Temple collaboration. Hopefully the opening of new archives will shine light on all this.</w:t>
      </w:r>
    </w:p>
    <w:p w:rsidR="00193FC4" w:rsidRDefault="003D0178" w:rsidP="00F270DB">
      <w:r>
        <w:t>Although his Christian values saturated his social analysis, Tawney could be vitriolic about the actual failure of the church in Britain (and elsewhere) to do anything significant about social reform. The churchmen talked</w:t>
      </w:r>
      <w:r w:rsidR="007D7D10">
        <w:t>,</w:t>
      </w:r>
      <w:r>
        <w:t xml:space="preserve"> but at the highest level they did little. The revitali</w:t>
      </w:r>
      <w:r w:rsidR="00D02696">
        <w:t>s</w:t>
      </w:r>
      <w:r>
        <w:t xml:space="preserve">ation he and Temple worked for did not eventuate. That was his judgment. As Terrill says, works such as his </w:t>
      </w:r>
      <w:r>
        <w:rPr>
          <w:i/>
        </w:rPr>
        <w:t>Religion and the Rise of Capitalism</w:t>
      </w:r>
      <w:r>
        <w:t xml:space="preserve"> (1926) attacked capitalism historically, and deplored its undermining of Christian ethics</w:t>
      </w:r>
      <w:r w:rsidR="007D7D10">
        <w:t xml:space="preserve"> by its emphasis on profiteering, “and it dared the churches to recover the proper concern of Christianity with the whole range of social and economic life. The challenge to historians produced rich fruit; that to the churches came </w:t>
      </w:r>
      <w:proofErr w:type="gramStart"/>
      <w:r w:rsidR="007D7D10">
        <w:t>to</w:t>
      </w:r>
      <w:proofErr w:type="gramEnd"/>
      <w:r w:rsidR="007D7D10">
        <w:t xml:space="preserve"> little. </w:t>
      </w:r>
      <w:proofErr w:type="gramStart"/>
      <w:r w:rsidR="007D7D10">
        <w:t>Tawney’s religious themes made more impact on his secular readers than his economic views did on his religious readers” (p.60).</w:t>
      </w:r>
      <w:proofErr w:type="gramEnd"/>
      <w:r w:rsidR="007D7D10">
        <w:t xml:space="preserve"> </w:t>
      </w:r>
    </w:p>
    <w:p w:rsidR="00307D3E" w:rsidRDefault="007D7D10" w:rsidP="00F270DB">
      <w:r>
        <w:t>Many socialist and reformist readers simply accepted his historical reading. They read the book as a call to arms against the industrial system, but ignored his call for a present day religious or spiritual revival. Terrill also make</w:t>
      </w:r>
      <w:r w:rsidR="00177039">
        <w:t>s</w:t>
      </w:r>
      <w:r>
        <w:t xml:space="preserve"> the point that many of his historical critics missed the point that Tawney was as much an enemy of communism, certainly of </w:t>
      </w:r>
      <w:r w:rsidR="00177039">
        <w:t xml:space="preserve">the </w:t>
      </w:r>
      <w:r>
        <w:t>totalitarian</w:t>
      </w:r>
      <w:r w:rsidR="00177039">
        <w:t xml:space="preserve"> Soviet Union, as of capitalism.  He attacked the “servile cult of the inevitable”, historical determinism, and championed individual freedom – especially that of grass roots democracy emancipated from the shackles and materialism of global capitalism. </w:t>
      </w:r>
      <w:r w:rsidR="00DA7CCF">
        <w:t>Meanwhile the church did little.</w:t>
      </w:r>
      <w:r w:rsidR="00DA7CCF">
        <w:rPr>
          <w:rStyle w:val="FootnoteReference"/>
        </w:rPr>
        <w:footnoteReference w:id="7"/>
      </w:r>
      <w:r w:rsidR="00DA7CCF">
        <w:t xml:space="preserve"> </w:t>
      </w:r>
      <w:r w:rsidR="00177039">
        <w:t xml:space="preserve">Beatrice Webb noted in her diary that Tawney “profoundly dislikes and denounces the worldliness of the Anglican </w:t>
      </w:r>
      <w:proofErr w:type="gramStart"/>
      <w:r w:rsidR="00177039">
        <w:t>church</w:t>
      </w:r>
      <w:proofErr w:type="gramEnd"/>
      <w:r w:rsidR="00177039">
        <w:t xml:space="preserve"> and its toleration of capitalist exploitation” (entry in 1937).</w:t>
      </w:r>
    </w:p>
    <w:p w:rsidR="003D0178" w:rsidRDefault="00307D3E" w:rsidP="00F270DB">
      <w:r>
        <w:t xml:space="preserve">Tawney wrote relatively little during the 1930s, no major book for twenty years after </w:t>
      </w:r>
      <w:r>
        <w:rPr>
          <w:i/>
        </w:rPr>
        <w:t>Land and Labour in China</w:t>
      </w:r>
      <w:r>
        <w:t xml:space="preserve"> in 1932: “It is a curiosity of Tawney’s career that he faded somewhat from the scene during the 1930s, the decade supposed to constitute a peak of influence for socialist intellectuals… Tawney was depressed, and intellectually a bit paralyzed, by the intensifying concentration of irresponsible governmental power and the rise of totalitarian ideologies all over Europe” (</w:t>
      </w:r>
      <w:r w:rsidR="00754E8C">
        <w:t xml:space="preserve">Terrill, </w:t>
      </w:r>
      <w:r>
        <w:t xml:space="preserve">p. 139). As a parallel we might notice that Aldous Huxley, the novelist and environmentalist, felt much the same, as he too favoured small government and localised </w:t>
      </w:r>
      <w:r w:rsidR="00754E8C">
        <w:t>democracy</w:t>
      </w:r>
      <w:r>
        <w:t>, and warned against the power of monoliths of the right and left.</w:t>
      </w:r>
      <w:r>
        <w:rPr>
          <w:rStyle w:val="FootnoteReference"/>
        </w:rPr>
        <w:footnoteReference w:id="8"/>
      </w:r>
      <w:r w:rsidR="00177039">
        <w:t xml:space="preserve">  </w:t>
      </w:r>
      <w:r w:rsidR="007D7D10">
        <w:t xml:space="preserve"> </w:t>
      </w:r>
    </w:p>
    <w:p w:rsidR="00C83A6B" w:rsidRDefault="00754E8C" w:rsidP="00F270DB">
      <w:r>
        <w:lastRenderedPageBreak/>
        <w:t>Why had totalitarianism arisen? One historical reason, according to Tawney, was the moral vacuum left by the decline of religion in the west: “The alternative to religion is rarely irreligion; it is a counter-religion”. Fascism and Soviet Communism were such counter-religions; and so also was the materialist greed of capitalism: “The apostasies waiting to succeed [religion] are legion</w:t>
      </w:r>
      <w:r w:rsidR="00FC2609">
        <w:t xml:space="preserve">; but the most popular claimants to the political throne have commonly been two. They are the worship of </w:t>
      </w:r>
      <w:proofErr w:type="gramStart"/>
      <w:r w:rsidR="00FC2609">
        <w:t>riches,</w:t>
      </w:r>
      <w:proofErr w:type="gramEnd"/>
      <w:r w:rsidR="00FC2609">
        <w:t xml:space="preserve"> and the worship of power”. </w:t>
      </w:r>
      <w:r w:rsidR="00FC2609">
        <w:rPr>
          <w:rStyle w:val="FootnoteReference"/>
        </w:rPr>
        <w:footnoteReference w:id="9"/>
      </w:r>
      <w:r w:rsidR="00FC2609">
        <w:t xml:space="preserve">  Keynes </w:t>
      </w:r>
      <w:r w:rsidR="000E0586">
        <w:t xml:space="preserve">said famously </w:t>
      </w:r>
      <w:r w:rsidR="00FC2609">
        <w:t>that capitalism was absolutely irreligious</w:t>
      </w:r>
      <w:r w:rsidR="000E0586">
        <w:t>. Tawney had put a similar, if more restrained</w:t>
      </w:r>
      <w:r w:rsidR="008802D4">
        <w:t>,</w:t>
      </w:r>
      <w:r w:rsidR="000E0586">
        <w:t xml:space="preserve"> thesis</w:t>
      </w:r>
      <w:r w:rsidR="00C83A6B">
        <w:t xml:space="preserve"> with </w:t>
      </w:r>
      <w:r w:rsidR="000E0586">
        <w:t xml:space="preserve">great </w:t>
      </w:r>
      <w:r w:rsidR="00C83A6B">
        <w:t xml:space="preserve">originality in </w:t>
      </w:r>
      <w:r w:rsidR="00C83A6B">
        <w:rPr>
          <w:i/>
        </w:rPr>
        <w:t>Religion and the Rise of Capitalism</w:t>
      </w:r>
      <w:r w:rsidR="00C83A6B">
        <w:t xml:space="preserve">. </w:t>
      </w:r>
    </w:p>
    <w:p w:rsidR="00754E8C" w:rsidRPr="003D0178" w:rsidRDefault="00C83A6B" w:rsidP="00F270DB">
      <w:r>
        <w:t>As Terrill concludes, Tawney from his Christian point of view saw capitalism as ungodly, both for “its irreverence toward nature” and because it was a counter-religion: “Instead of encouraging in man a creaturely attitude to the divine creation, capitalism puts a premium on a Promethean lust for limitless, almost blasphemous, exploitation of nature and dominance over nature”. But Tawney did not see capitalism as the determined fate of humankind</w:t>
      </w:r>
      <w:r w:rsidR="000E0586">
        <w:t>. H</w:t>
      </w:r>
      <w:r>
        <w:t>e shared the common conviction of thirties intellectuals that it could well be displaced by other systems</w:t>
      </w:r>
      <w:r w:rsidR="00D02696">
        <w:t>:</w:t>
      </w:r>
      <w:r w:rsidR="000E0586">
        <w:t xml:space="preserve"> “History had no more granted to it the blessing of permanence than to feudalism before it. Its continuance was no more inevitable than its coming. In demonstrating the historical mortality of capitalism, Tawney strengthened the resolve of those who did not like capitalism but had no conviction of the possibility of replacing it” (</w:t>
      </w:r>
      <w:r w:rsidR="00F92551">
        <w:t xml:space="preserve">Terrill, </w:t>
      </w:r>
      <w:r w:rsidR="000E0586">
        <w:t>pp.252-253).</w:t>
      </w:r>
      <w:r w:rsidR="00FC2609">
        <w:t xml:space="preserve"> </w:t>
      </w:r>
    </w:p>
    <w:p w:rsidR="00811461" w:rsidRDefault="00DE4382" w:rsidP="00F270DB">
      <w:r>
        <w:t xml:space="preserve">In Terrill’s opinion “Tawney hovered between affection and despair for the church, and for much of the latter part of his life (except in the very last years) he had little hope that the church could serve what he thought of as a Christian social purpose… The church could not reclaim its former authority over English life. Christianity could now expect only the attention that the intrinsic merits of its ideas may command. </w:t>
      </w:r>
      <w:proofErr w:type="gramStart"/>
      <w:r>
        <w:t>Tawney’s significance was that amidst the decay of the faith and authority of the church he formulated the most influential case from the socialist side for an expression of Christianity in political terms” (pp.265-266).</w:t>
      </w:r>
      <w:proofErr w:type="gramEnd"/>
      <w:r>
        <w:t xml:space="preserve"> This essentially was through his gospel of fellowship. Terrill categorises Tawney as an ethical idealist, “a democratic socialist with philosophic roots in Christian humanism</w:t>
      </w:r>
      <w:r w:rsidR="00E440A4">
        <w:t>” (p.269).</w:t>
      </w:r>
    </w:p>
    <w:p w:rsidR="00C076D4" w:rsidRDefault="00C076D4" w:rsidP="00F270DB">
      <w:r>
        <w:rPr>
          <w:b/>
        </w:rPr>
        <w:t>The Revisionist Debate</w:t>
      </w:r>
    </w:p>
    <w:p w:rsidR="00E557D6" w:rsidRDefault="00C076D4" w:rsidP="00F270DB">
      <w:r>
        <w:t xml:space="preserve">In an article of 2010, the Newcastle-Upon-Tyne political scientists Gary Armstrong and Tim Gray challenged three positions they believe </w:t>
      </w:r>
      <w:r w:rsidR="003F7F91">
        <w:t>had been</w:t>
      </w:r>
      <w:r>
        <w:t xml:space="preserve"> taken by main commentators and biographers of Tawney (especially Ross Terrill, W. H. Greenleaf and Anthony Wright). To keep it brief, these “orthodoxies” were: (1) that Tawney’s work never changed substantially over his life (2)</w:t>
      </w:r>
      <w:r w:rsidR="003F7F91">
        <w:t xml:space="preserve"> </w:t>
      </w:r>
      <w:r>
        <w:t>that Tawney’s politics was largely derivative of his religion (or, as someone else put it</w:t>
      </w:r>
      <w:r w:rsidR="003F7F91">
        <w:t xml:space="preserve"> more sympathetically</w:t>
      </w:r>
      <w:r>
        <w:t xml:space="preserve">, was continually informed by and articulated a deep Christian sensitivity); and (3) that the early </w:t>
      </w:r>
      <w:r>
        <w:rPr>
          <w:i/>
        </w:rPr>
        <w:t>Commonplace Book</w:t>
      </w:r>
      <w:r w:rsidR="003F7F91">
        <w:t xml:space="preserve"> set the seal on his subsequent political thought, which was essentially consistent throughout.</w:t>
      </w:r>
      <w:r w:rsidR="003F7F91">
        <w:rPr>
          <w:rStyle w:val="FootnoteReference"/>
        </w:rPr>
        <w:footnoteReference w:id="10"/>
      </w:r>
      <w:r w:rsidR="00E557D6">
        <w:t xml:space="preserve">  These claims are backed by close analysis of Tawney’s works. </w:t>
      </w:r>
    </w:p>
    <w:p w:rsidR="00C076D4" w:rsidRDefault="00E557D6" w:rsidP="00F270DB">
      <w:r>
        <w:lastRenderedPageBreak/>
        <w:t xml:space="preserve">Armstrong and Gray challenge the received assumptions “by demonstrating that Tawney’s political thought is not consistent but changes significantly over the course of his long writing career; that one important change is that he dilutes his early attachment to Christianity as the foundation stone of his political thought and that the diaries (the </w:t>
      </w:r>
      <w:r>
        <w:rPr>
          <w:i/>
        </w:rPr>
        <w:t>Commonplace Book</w:t>
      </w:r>
      <w:r>
        <w:t>) are not the key to an understanding of Tawney’s political thought”.</w:t>
      </w:r>
      <w:r w:rsidR="003F7F91">
        <w:t xml:space="preserve"> </w:t>
      </w:r>
      <w:r w:rsidR="004F4C76">
        <w:t>They track through Tawney’s writings chronologically to show evolution of his thought, “concentrating on the key concepts of equal worth and the political realm to demonstrate that his ideas underwent considerable change from a Christian exclusivity, which held that core values were conceptually dependent on a belief in the existence of God, to a predominantly secular position that core values were based largely on rational analysis” (A&amp;G, p.162). They speak of the gradual seculari</w:t>
      </w:r>
      <w:r w:rsidR="00663DFF">
        <w:t>s</w:t>
      </w:r>
      <w:r w:rsidR="004F4C76">
        <w:t>ation of his concepts.</w:t>
      </w:r>
    </w:p>
    <w:p w:rsidR="004F4C76" w:rsidRDefault="004F4C76" w:rsidP="00F270DB">
      <w:r>
        <w:t>They argue that</w:t>
      </w:r>
      <w:r w:rsidR="00E956B3">
        <w:t xml:space="preserve"> Tawney came to focus upon socialism and the Labour Party as the main architects of the Good Society rather than Christianity and the church. They agree that the young Tawney embedded his concept of equality and equal worth in a Christian ethical framework, but claim that “this restrictive conception is confined to Tawney’s early work, and he adopts a humanist conception, which acknowledges the legitimacy of a secular appropriation, in his masterpiece </w:t>
      </w:r>
      <w:r w:rsidR="00E956B3">
        <w:rPr>
          <w:i/>
        </w:rPr>
        <w:t>Equality</w:t>
      </w:r>
      <w:r w:rsidR="00895E02">
        <w:t>”</w:t>
      </w:r>
      <w:r w:rsidR="00E956B3">
        <w:t>. They reject the suggestion that Tawney tactically adopted a secular idiom to appeal to non-religious readers: “The change in Tawney’s thought is not merely tactical, but philosophical: an inclusive secular formulation of equality</w:t>
      </w:r>
      <w:r w:rsidR="00EF5A9A">
        <w:t xml:space="preserve"> cannot but undermine an exclusive Christian core” (A&amp;G, p</w:t>
      </w:r>
      <w:r w:rsidR="0076379E">
        <w:t>p</w:t>
      </w:r>
      <w:r w:rsidR="00EF5A9A">
        <w:t>.16</w:t>
      </w:r>
      <w:r w:rsidR="0076379E">
        <w:t>7 -168</w:t>
      </w:r>
      <w:r w:rsidR="00EF5A9A">
        <w:t>).</w:t>
      </w:r>
      <w:r w:rsidR="00E956B3">
        <w:t xml:space="preserve"> </w:t>
      </w:r>
      <w:r w:rsidR="00EF5A9A">
        <w:t>He initially suspected politics as morally bankrupt, but came to accept the state as a necessary agency to implement a new ethical society based upon social service. (This is perhaps compatible with Goldman’s theme that Tawney abandoned his early Christian radicalism for an instrumental state socialism, but note Goldman’s belief that the “authentic” early Tawney still stayed there at his core and re-emerged at the end).</w:t>
      </w:r>
    </w:p>
    <w:p w:rsidR="00EF5A9A" w:rsidRDefault="002C2AB2" w:rsidP="00F270DB">
      <w:r>
        <w:t xml:space="preserve">Armstrong and Gray analyse </w:t>
      </w:r>
      <w:r>
        <w:rPr>
          <w:i/>
        </w:rPr>
        <w:t>The Acquisitive Society</w:t>
      </w:r>
      <w:r>
        <w:t xml:space="preserve"> as “a predominantly secular work”, barring some “sparse biblical allusions” and “a dramatic reversion to the hyper-religiosity of the </w:t>
      </w:r>
      <w:r>
        <w:rPr>
          <w:i/>
        </w:rPr>
        <w:t>Commonplace Book</w:t>
      </w:r>
      <w:r>
        <w:t xml:space="preserve">” in the final chapter (p.169). The later Tawney, they seem to be saying, accepted that political ideologies such as socialism, or even more pragmatic Labourism, could make meaningful moral appeals, without needing transcendental foundations. </w:t>
      </w:r>
      <w:r w:rsidR="0097525E">
        <w:t>(Whether that rules out Tawney using both religious and secular justifications is not made clear).</w:t>
      </w:r>
      <w:r w:rsidR="00895E02">
        <w:t xml:space="preserve"> They end: “Simplistic assertions of consistency, dependence and derivation fail to capture the complex and varied nature of the relationship between Tawney’s political thought and his Christianity”</w:t>
      </w:r>
      <w:r w:rsidR="00155D5B">
        <w:t xml:space="preserve"> (</w:t>
      </w:r>
      <w:r w:rsidR="00895E02">
        <w:t>A&amp;G, p.172).</w:t>
      </w:r>
    </w:p>
    <w:p w:rsidR="00895E02" w:rsidRDefault="00895E02" w:rsidP="00F270DB">
      <w:r>
        <w:t xml:space="preserve">The complexities of Tawney are certainly brought out in Lawrence Goldman’s 2013 life (and I imagine would </w:t>
      </w:r>
      <w:r w:rsidR="0076379E">
        <w:t>hardly</w:t>
      </w:r>
      <w:r w:rsidR="003714E0">
        <w:t xml:space="preserve"> have</w:t>
      </w:r>
      <w:r>
        <w:t xml:space="preserve"> been denied by his earlier biographers). Goldman </w:t>
      </w:r>
      <w:r w:rsidR="0076379E">
        <w:t>barely</w:t>
      </w:r>
      <w:r>
        <w:t xml:space="preserve"> bothers with the Armstrong/Gray thesis. In a single reference he mentions that they</w:t>
      </w:r>
      <w:r w:rsidR="003714E0">
        <w:t xml:space="preserve"> had drawn attention to the changes and inconsistencies in Tawney ideas, “though Tawney himself would have been the first to admit that he was not a systematic social thinker and that the construction of a philosophical system was never his aim” (Goldman, p.8).</w:t>
      </w:r>
    </w:p>
    <w:p w:rsidR="003714E0" w:rsidRDefault="003714E0" w:rsidP="00F270DB">
      <w:r>
        <w:t>One of the more interesting responses came from the American scholar Adam Seligman, a Tawney admirer. In a review labelled “Tendentious Debunking” he recalls: “I first encountered Tawney’s writing in public high school in Brooklyn in the 1960s and it made perfect sense in those times of social protest, activism, and visions of a better world”. While welcoming this addition to Tawney scholarship</w:t>
      </w:r>
      <w:r w:rsidR="0067688B">
        <w:t>, and hoping that it m</w:t>
      </w:r>
      <w:r w:rsidR="00B3437E">
        <w:t xml:space="preserve">ight </w:t>
      </w:r>
      <w:r w:rsidR="0067688B">
        <w:t xml:space="preserve">increase familiarity with </w:t>
      </w:r>
      <w:r w:rsidR="00B3437E">
        <w:t>his</w:t>
      </w:r>
      <w:r w:rsidR="0067688B">
        <w:t xml:space="preserve"> important writings, Seligman has </w:t>
      </w:r>
      <w:r w:rsidR="0067688B">
        <w:lastRenderedPageBreak/>
        <w:t xml:space="preserve">his reservations: </w:t>
      </w:r>
      <w:r w:rsidR="00B3437E">
        <w:t>“</w:t>
      </w:r>
      <w:r w:rsidR="0067688B">
        <w:t xml:space="preserve">At times they seem to overstate their case and, in making their argument, seem to impose distinctions and divisions in the trajectory of Tawney’s thought that feel foreign to the felt experience of reading Tawney’s prose. At times such reading borders on the tendentious. </w:t>
      </w:r>
      <w:proofErr w:type="gramStart"/>
      <w:r w:rsidR="0067688B">
        <w:t xml:space="preserve">Thus Tawney’s book </w:t>
      </w:r>
      <w:r w:rsidR="0067688B">
        <w:rPr>
          <w:i/>
        </w:rPr>
        <w:t>The Attack</w:t>
      </w:r>
      <w:r w:rsidR="0067688B">
        <w:t xml:space="preserve"> (1953), which was published less than ten years before he died, did indeed contain earlier essays from the 1920s and is discussed in this context by our authors.</w:t>
      </w:r>
      <w:proofErr w:type="gramEnd"/>
      <w:r w:rsidR="0067688B">
        <w:t xml:space="preserve"> They, however, totally disregard the strong religious or spiritual elements to be found in this work – most especially the importance of Christian fellowship as the basis of equality and ethical action… Doubtless most people’s thought grows and changes over time and the circumstances of life, but equally, some threads and concerns remain constant, if with changing hues and emphases”.  Asking why the authors protest so much about the religiosity of Tawney, Seligman makes a </w:t>
      </w:r>
      <w:r w:rsidR="00B3437E">
        <w:t>telling</w:t>
      </w:r>
      <w:r w:rsidR="0067688B">
        <w:t xml:space="preserve"> point: “One almost feels it reflects current political concerns and conflicts much more than those of the first half of the twentieth century</w:t>
      </w:r>
      <w:r w:rsidR="00863216">
        <w:t>. We are today caught in a world where the religious and secular roots of action, morality, and understanding are thought to be antithetical, as ultimate contradictions. This was not always so. It certainly was not so of the world inhabited by the likes of Tawney, Hugh Gaitskell (leader of the Labour Party), and Archbishop Temple”.</w:t>
      </w:r>
      <w:r w:rsidR="00863216">
        <w:rPr>
          <w:rStyle w:val="FootnoteReference"/>
        </w:rPr>
        <w:footnoteReference w:id="11"/>
      </w:r>
    </w:p>
    <w:p w:rsidR="00556513" w:rsidRDefault="00556513" w:rsidP="00556513">
      <w:pPr>
        <w:jc w:val="center"/>
      </w:pPr>
      <w:r>
        <w:t>*</w:t>
      </w:r>
    </w:p>
    <w:p w:rsidR="00B3437E" w:rsidRDefault="00B3437E" w:rsidP="00F270DB">
      <w:r>
        <w:t xml:space="preserve">In the above I have tried to give at least some context and to present differing views on the revisionist debate, and much else. If you are interested in these issues, you can obtain much more detail from the sources </w:t>
      </w:r>
      <w:r w:rsidR="00155D5B">
        <w:t>cited</w:t>
      </w:r>
      <w:r>
        <w:t xml:space="preserve">. Goldman </w:t>
      </w:r>
      <w:r w:rsidR="00556513">
        <w:t xml:space="preserve">lists </w:t>
      </w:r>
      <w:r>
        <w:t xml:space="preserve">over nine pages of books and articles </w:t>
      </w:r>
      <w:r w:rsidR="00556513">
        <w:t>by and about</w:t>
      </w:r>
      <w:r>
        <w:t xml:space="preserve"> Tawney, so good hunting!</w:t>
      </w:r>
    </w:p>
    <w:p w:rsidR="00556513" w:rsidRPr="0067688B" w:rsidRDefault="00556513" w:rsidP="00F270DB">
      <w:bookmarkStart w:id="0" w:name="_GoBack"/>
      <w:bookmarkEnd w:id="0"/>
    </w:p>
    <w:sectPr w:rsidR="00556513" w:rsidRPr="0067688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789D" w:rsidRDefault="00A1789D" w:rsidP="00AF2CD3">
      <w:pPr>
        <w:spacing w:after="0" w:line="240" w:lineRule="auto"/>
      </w:pPr>
      <w:r>
        <w:separator/>
      </w:r>
    </w:p>
  </w:endnote>
  <w:endnote w:type="continuationSeparator" w:id="0">
    <w:p w:rsidR="00A1789D" w:rsidRDefault="00A1789D" w:rsidP="00AF2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409016"/>
      <w:docPartObj>
        <w:docPartGallery w:val="Page Numbers (Bottom of Page)"/>
        <w:docPartUnique/>
      </w:docPartObj>
    </w:sdtPr>
    <w:sdtEndPr>
      <w:rPr>
        <w:noProof/>
      </w:rPr>
    </w:sdtEndPr>
    <w:sdtContent>
      <w:p w:rsidR="00784BFF" w:rsidRDefault="00784BFF">
        <w:pPr>
          <w:pStyle w:val="Footer"/>
          <w:jc w:val="center"/>
        </w:pPr>
        <w:r>
          <w:fldChar w:fldCharType="begin"/>
        </w:r>
        <w:r>
          <w:instrText xml:space="preserve"> PAGE   \* MERGEFORMAT </w:instrText>
        </w:r>
        <w:r>
          <w:fldChar w:fldCharType="separate"/>
        </w:r>
        <w:r w:rsidR="00E14ADB">
          <w:rPr>
            <w:noProof/>
          </w:rPr>
          <w:t>9</w:t>
        </w:r>
        <w:r>
          <w:rPr>
            <w:noProof/>
          </w:rPr>
          <w:fldChar w:fldCharType="end"/>
        </w:r>
      </w:p>
    </w:sdtContent>
  </w:sdt>
  <w:p w:rsidR="00784BFF" w:rsidRDefault="00784B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789D" w:rsidRDefault="00A1789D" w:rsidP="00AF2CD3">
      <w:pPr>
        <w:spacing w:after="0" w:line="240" w:lineRule="auto"/>
      </w:pPr>
      <w:r>
        <w:separator/>
      </w:r>
    </w:p>
  </w:footnote>
  <w:footnote w:type="continuationSeparator" w:id="0">
    <w:p w:rsidR="00A1789D" w:rsidRDefault="00A1789D" w:rsidP="00AF2CD3">
      <w:pPr>
        <w:spacing w:after="0" w:line="240" w:lineRule="auto"/>
      </w:pPr>
      <w:r>
        <w:continuationSeparator/>
      </w:r>
    </w:p>
  </w:footnote>
  <w:footnote w:id="1">
    <w:p w:rsidR="00170604" w:rsidRDefault="00170604">
      <w:pPr>
        <w:pStyle w:val="FootnoteText"/>
      </w:pPr>
      <w:r>
        <w:rPr>
          <w:rStyle w:val="FootnoteReference"/>
        </w:rPr>
        <w:footnoteRef/>
      </w:r>
      <w:r>
        <w:t xml:space="preserve"> “He could admire but not agree with the principled pacifist who was realistically prepared to accept all the consequences of his pacifism – not to use violence even if England were attacked</w:t>
      </w:r>
      <w:r w:rsidR="00380C82">
        <w:t>, not to use violence  even though loved ones were directly threatened with or subjected to humiliation, torture or death, not to use violence even though pacifism did not lead to peace….But he could not join those who based their pacifism on the, to him, erroneous belief that there was no significant risk that an aggressor would take advantage of a pacifist country, or the equally erroneous belief that foreign invasion was to be preferred to war…”:</w:t>
      </w:r>
      <w:r w:rsidR="00987710">
        <w:t xml:space="preserve"> </w:t>
      </w:r>
      <w:r w:rsidR="00380C82">
        <w:t xml:space="preserve">Norman Dennis and A. H. Halsey, </w:t>
      </w:r>
      <w:r w:rsidR="00380C82">
        <w:rPr>
          <w:i/>
        </w:rPr>
        <w:t>English Ethical Socialism</w:t>
      </w:r>
      <w:r w:rsidR="00380C82">
        <w:t xml:space="preserve"> (Oxford, 1988), p.167. Chapter 7,”Socialism as Fellowship: R. H. Tawney” gives a brief but sensitive account of Tawney’s life and ideas. </w:t>
      </w:r>
    </w:p>
  </w:footnote>
  <w:footnote w:id="2">
    <w:p w:rsidR="00AB6E4B" w:rsidRPr="00AB6E4B" w:rsidRDefault="00AB6E4B">
      <w:pPr>
        <w:pStyle w:val="FootnoteText"/>
      </w:pPr>
      <w:r>
        <w:rPr>
          <w:rStyle w:val="FootnoteReference"/>
        </w:rPr>
        <w:footnoteRef/>
      </w:r>
      <w:r>
        <w:t xml:space="preserve"> Lawrence Goldman, </w:t>
      </w:r>
      <w:proofErr w:type="gramStart"/>
      <w:r>
        <w:rPr>
          <w:i/>
        </w:rPr>
        <w:t>The</w:t>
      </w:r>
      <w:proofErr w:type="gramEnd"/>
      <w:r>
        <w:rPr>
          <w:i/>
        </w:rPr>
        <w:t xml:space="preserve"> Life of R. H. Tawney: Socialism and History</w:t>
      </w:r>
      <w:r>
        <w:t xml:space="preserve"> (London, New York, Bloomsbury, 2014). See also Ross Terrill, </w:t>
      </w:r>
      <w:r>
        <w:rPr>
          <w:i/>
        </w:rPr>
        <w:t xml:space="preserve">R.H. Tawney and His Times: Socialism as Fellowship </w:t>
      </w:r>
      <w:r>
        <w:t xml:space="preserve">(Harvard UP, 1973) and Anthony Wright, </w:t>
      </w:r>
      <w:r>
        <w:rPr>
          <w:i/>
        </w:rPr>
        <w:t>R. H. Tawney</w:t>
      </w:r>
      <w:r>
        <w:t xml:space="preserve"> (Manchester UP, 1987). Goldman has written the entry on Tawney in the Oxford DNB.</w:t>
      </w:r>
    </w:p>
  </w:footnote>
  <w:footnote w:id="3">
    <w:p w:rsidR="00261EFB" w:rsidRPr="00261EFB" w:rsidRDefault="00261EFB">
      <w:pPr>
        <w:pStyle w:val="FootnoteText"/>
      </w:pPr>
      <w:r>
        <w:rPr>
          <w:rStyle w:val="FootnoteReference"/>
        </w:rPr>
        <w:footnoteRef/>
      </w:r>
      <w:r>
        <w:t xml:space="preserve"> In her diary of </w:t>
      </w:r>
      <w:r w:rsidR="00127328">
        <w:t>8 December 1935 Beatrice wrote: “</w:t>
      </w:r>
      <w:r>
        <w:t xml:space="preserve">In his religious opinions, he remains a mystery to his free-thinking friends” and another time wondered if Tawney was “a convinced Christian or a religious-minded agnostic”: typescript in LSE Digital Library, quoted Goldman, </w:t>
      </w:r>
      <w:r>
        <w:rPr>
          <w:i/>
        </w:rPr>
        <w:t>Life</w:t>
      </w:r>
      <w:r>
        <w:t>,</w:t>
      </w:r>
      <w:r w:rsidR="0051208A">
        <w:t xml:space="preserve"> </w:t>
      </w:r>
      <w:proofErr w:type="gramStart"/>
      <w:r>
        <w:t>p.179</w:t>
      </w:r>
      <w:proofErr w:type="gramEnd"/>
      <w:r>
        <w:t>; and generally on Tawney’s Christianity, pp.179-184.</w:t>
      </w:r>
    </w:p>
  </w:footnote>
  <w:footnote w:id="4">
    <w:p w:rsidR="00AF2CD3" w:rsidRPr="00A02006" w:rsidRDefault="00AF2CD3">
      <w:pPr>
        <w:pStyle w:val="FootnoteText"/>
      </w:pPr>
      <w:r>
        <w:rPr>
          <w:rStyle w:val="FootnoteReference"/>
        </w:rPr>
        <w:footnoteRef/>
      </w:r>
      <w:r>
        <w:t xml:space="preserve"> </w:t>
      </w:r>
      <w:r w:rsidR="00CC1D14">
        <w:t xml:space="preserve">Tawney’s </w:t>
      </w:r>
      <w:r w:rsidR="00CC1D14">
        <w:rPr>
          <w:i/>
        </w:rPr>
        <w:t xml:space="preserve">Commonplace </w:t>
      </w:r>
      <w:r w:rsidR="00CC1D14" w:rsidRPr="00CC1D14">
        <w:t>Book</w:t>
      </w:r>
      <w:r w:rsidR="00CC1D14">
        <w:t xml:space="preserve"> (see below) is a good guide to his early thought. </w:t>
      </w:r>
      <w:r w:rsidR="00A02006" w:rsidRPr="00CC1D14">
        <w:t>For</w:t>
      </w:r>
      <w:r w:rsidR="00A02006">
        <w:t xml:space="preserve"> an excellent discussion of this and other Tawney sources, and his thought, see Alastair Duff, “The Sickness of an Information Society: R. H. Tawney and the Post-Industrial Condition”, </w:t>
      </w:r>
      <w:r w:rsidR="00A02006">
        <w:rPr>
          <w:i/>
        </w:rPr>
        <w:t>Information, Communication and Society</w:t>
      </w:r>
      <w:r w:rsidR="00613869">
        <w:t>, 7,3 (2004), pp.403-422.  I have paraphrased some of Duff’s readings in what follows. He argues that Tawney is still relevant in giving critical perspectives on the technocratic social structure and new modes of information and communication: “Tawney delineates a moral order against which all political actions and institutions must be benchmarked, a theory of right for those steering a course amid the tempting, teleological currents of modern politics…Tawney had affirmed the non-negotiable priority pf the right over the good in the political order” (pp.405-406).</w:t>
      </w:r>
    </w:p>
  </w:footnote>
  <w:footnote w:id="5">
    <w:p w:rsidR="00A02006" w:rsidRPr="00A02006" w:rsidRDefault="00A02006">
      <w:pPr>
        <w:pStyle w:val="FootnoteText"/>
      </w:pPr>
      <w:r>
        <w:rPr>
          <w:rStyle w:val="FootnoteReference"/>
        </w:rPr>
        <w:footnoteRef/>
      </w:r>
      <w:r>
        <w:t xml:space="preserve"> </w:t>
      </w:r>
      <w:proofErr w:type="gramStart"/>
      <w:r>
        <w:rPr>
          <w:i/>
        </w:rPr>
        <w:t>R. H. Tawney’s Commonplace Book</w:t>
      </w:r>
      <w:r>
        <w:t>, ed. J. M. Winter and D. M. Joslin (Cambridge, 1972); diary for years 1912-1914, pp.12, 65-68.</w:t>
      </w:r>
      <w:proofErr w:type="gramEnd"/>
    </w:p>
  </w:footnote>
  <w:footnote w:id="6">
    <w:p w:rsidR="00F270DB" w:rsidRPr="00F270DB" w:rsidRDefault="00F270DB">
      <w:pPr>
        <w:pStyle w:val="FootnoteText"/>
      </w:pPr>
      <w:r>
        <w:rPr>
          <w:rStyle w:val="FootnoteReference"/>
        </w:rPr>
        <w:footnoteRef/>
      </w:r>
      <w:r>
        <w:t xml:space="preserve"> Ross Terrill, </w:t>
      </w:r>
      <w:r>
        <w:rPr>
          <w:i/>
        </w:rPr>
        <w:t>R. H. Tawney and His Times: Socialism as Fellowship</w:t>
      </w:r>
      <w:r>
        <w:t xml:space="preserve"> </w:t>
      </w:r>
      <w:r w:rsidR="00811461">
        <w:t>(Harvard, Mass., 1973), pp.57-5</w:t>
      </w:r>
      <w:r w:rsidR="00826046">
        <w:t>9</w:t>
      </w:r>
      <w:r w:rsidR="00811461">
        <w:t>.</w:t>
      </w:r>
    </w:p>
  </w:footnote>
  <w:footnote w:id="7">
    <w:p w:rsidR="00DA7CCF" w:rsidRPr="00DA7CCF" w:rsidRDefault="00DA7CCF">
      <w:pPr>
        <w:pStyle w:val="FootnoteText"/>
      </w:pPr>
      <w:r>
        <w:rPr>
          <w:rStyle w:val="FootnoteReference"/>
        </w:rPr>
        <w:footnoteRef/>
      </w:r>
      <w:r>
        <w:t xml:space="preserve"> S. J. D. Green gives an excellent account of the slow change in church attitudes in his </w:t>
      </w:r>
      <w:r>
        <w:rPr>
          <w:i/>
        </w:rPr>
        <w:t>The Passing of Protestant England: Secularisation and Social Change c.1920-1960</w:t>
      </w:r>
      <w:r>
        <w:t xml:space="preserve"> (Cambridge, 2011).</w:t>
      </w:r>
    </w:p>
  </w:footnote>
  <w:footnote w:id="8">
    <w:p w:rsidR="00307D3E" w:rsidRPr="00754E8C" w:rsidRDefault="00307D3E">
      <w:pPr>
        <w:pStyle w:val="FootnoteText"/>
      </w:pPr>
      <w:r>
        <w:rPr>
          <w:rStyle w:val="FootnoteReference"/>
        </w:rPr>
        <w:footnoteRef/>
      </w:r>
      <w:r>
        <w:t xml:space="preserve"> See </w:t>
      </w:r>
      <w:r w:rsidR="00754E8C">
        <w:t xml:space="preserve">R. S. Deese, </w:t>
      </w:r>
      <w:r w:rsidR="00754E8C">
        <w:rPr>
          <w:i/>
        </w:rPr>
        <w:t>We Are Amphibians: Julian and Aldous Huxley on the Future of Our Species</w:t>
      </w:r>
      <w:r w:rsidR="00754E8C">
        <w:t xml:space="preserve"> (Oakland, California, 2015).</w:t>
      </w:r>
    </w:p>
  </w:footnote>
  <w:footnote w:id="9">
    <w:p w:rsidR="00FC2609" w:rsidRDefault="00FC2609">
      <w:pPr>
        <w:pStyle w:val="FootnoteText"/>
      </w:pPr>
      <w:r>
        <w:rPr>
          <w:rStyle w:val="FootnoteReference"/>
        </w:rPr>
        <w:footnoteRef/>
      </w:r>
      <w:r>
        <w:t xml:space="preserve"> Tawney, Burge Lecture: “The Western Political Tradition”. He spoke also of “the monstrous doctrine of national sovereignty”.</w:t>
      </w:r>
    </w:p>
  </w:footnote>
  <w:footnote w:id="10">
    <w:p w:rsidR="003F7F91" w:rsidRPr="003F7F91" w:rsidRDefault="003F7F91">
      <w:pPr>
        <w:pStyle w:val="FootnoteText"/>
      </w:pPr>
      <w:r>
        <w:rPr>
          <w:rStyle w:val="FootnoteReference"/>
        </w:rPr>
        <w:footnoteRef/>
      </w:r>
      <w:r>
        <w:t xml:space="preserve"> Gary Armstrong and Tim Gray, “</w:t>
      </w:r>
      <w:r w:rsidR="00895E02">
        <w:t>T</w:t>
      </w:r>
      <w:r>
        <w:t xml:space="preserve">hree Fallacies in the Essentialist Interpretation of the Political Thought of R. H. Tawney”, </w:t>
      </w:r>
      <w:r>
        <w:rPr>
          <w:i/>
        </w:rPr>
        <w:t>Journal of Political Ideologies</w:t>
      </w:r>
      <w:r>
        <w:t xml:space="preserve"> </w:t>
      </w:r>
      <w:proofErr w:type="gramStart"/>
      <w:r>
        <w:t>15</w:t>
      </w:r>
      <w:r w:rsidR="00895E02">
        <w:t xml:space="preserve"> </w:t>
      </w:r>
      <w:r>
        <w:t>,</w:t>
      </w:r>
      <w:proofErr w:type="gramEnd"/>
      <w:r w:rsidR="00FE1F6E">
        <w:t xml:space="preserve"> </w:t>
      </w:r>
      <w:r>
        <w:t xml:space="preserve">2 (2010), pp.161-174 [hereafter cited as A&amp;G]. They expanded this into a book: </w:t>
      </w:r>
      <w:r>
        <w:rPr>
          <w:i/>
        </w:rPr>
        <w:t>The Authentic Tawney: A New Interpretation of the Political Thought of R. H. Tawney</w:t>
      </w:r>
      <w:r>
        <w:t xml:space="preserve"> (Exeter, 2011).</w:t>
      </w:r>
    </w:p>
  </w:footnote>
  <w:footnote w:id="11">
    <w:p w:rsidR="00863216" w:rsidRPr="00700810" w:rsidRDefault="00863216">
      <w:pPr>
        <w:pStyle w:val="FootnoteText"/>
      </w:pPr>
      <w:r>
        <w:rPr>
          <w:rStyle w:val="FootnoteReference"/>
        </w:rPr>
        <w:footnoteRef/>
      </w:r>
      <w:r>
        <w:t xml:space="preserve"> </w:t>
      </w:r>
      <w:proofErr w:type="gramStart"/>
      <w:r>
        <w:t xml:space="preserve">Adam Seligman, “Tendentious Debunking”, </w:t>
      </w:r>
      <w:r>
        <w:rPr>
          <w:i/>
        </w:rPr>
        <w:t>The Review of Politics</w:t>
      </w:r>
      <w:r>
        <w:t xml:space="preserve"> </w:t>
      </w:r>
      <w:r w:rsidR="001B6873">
        <w:t>73, 4 (2011)</w:t>
      </w:r>
      <w:r>
        <w:t>, pp.665-667.</w:t>
      </w:r>
      <w:proofErr w:type="gramEnd"/>
      <w:r w:rsidR="00193FC4">
        <w:t xml:space="preserve"> This is a review of Armstrong and </w:t>
      </w:r>
      <w:proofErr w:type="spellStart"/>
      <w:r w:rsidR="00193FC4">
        <w:t>Gray’s</w:t>
      </w:r>
      <w:proofErr w:type="spellEnd"/>
      <w:r w:rsidR="00193FC4">
        <w:t xml:space="preserve"> book </w:t>
      </w:r>
      <w:r w:rsidR="00700810">
        <w:rPr>
          <w:i/>
        </w:rPr>
        <w:t>The Authentic Tawney</w:t>
      </w:r>
      <w:r w:rsidR="00700810">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33F"/>
    <w:rsid w:val="00021429"/>
    <w:rsid w:val="0002269D"/>
    <w:rsid w:val="000403ED"/>
    <w:rsid w:val="00045B84"/>
    <w:rsid w:val="000E0586"/>
    <w:rsid w:val="00127328"/>
    <w:rsid w:val="00155D5B"/>
    <w:rsid w:val="00170604"/>
    <w:rsid w:val="00177039"/>
    <w:rsid w:val="0018152C"/>
    <w:rsid w:val="00193FC4"/>
    <w:rsid w:val="001B6873"/>
    <w:rsid w:val="001C49DF"/>
    <w:rsid w:val="001C4ABC"/>
    <w:rsid w:val="001E4D8A"/>
    <w:rsid w:val="001F1F0C"/>
    <w:rsid w:val="00261EFB"/>
    <w:rsid w:val="00283F5F"/>
    <w:rsid w:val="002C2AB2"/>
    <w:rsid w:val="002C5CAB"/>
    <w:rsid w:val="002E403F"/>
    <w:rsid w:val="00307D3E"/>
    <w:rsid w:val="00312DB4"/>
    <w:rsid w:val="00316C32"/>
    <w:rsid w:val="00347A6E"/>
    <w:rsid w:val="003714E0"/>
    <w:rsid w:val="00380C82"/>
    <w:rsid w:val="003D0178"/>
    <w:rsid w:val="003E6E12"/>
    <w:rsid w:val="003F7F91"/>
    <w:rsid w:val="00402F53"/>
    <w:rsid w:val="004646AF"/>
    <w:rsid w:val="004E2F5C"/>
    <w:rsid w:val="004F4C76"/>
    <w:rsid w:val="0051208A"/>
    <w:rsid w:val="005514F9"/>
    <w:rsid w:val="00556513"/>
    <w:rsid w:val="005C2C3C"/>
    <w:rsid w:val="005E1BFD"/>
    <w:rsid w:val="005E62CC"/>
    <w:rsid w:val="005F643E"/>
    <w:rsid w:val="00611F92"/>
    <w:rsid w:val="00613869"/>
    <w:rsid w:val="00663DFF"/>
    <w:rsid w:val="0067688B"/>
    <w:rsid w:val="006C50DA"/>
    <w:rsid w:val="00700810"/>
    <w:rsid w:val="00705DD6"/>
    <w:rsid w:val="00724D34"/>
    <w:rsid w:val="00732CE6"/>
    <w:rsid w:val="00754E8C"/>
    <w:rsid w:val="0076379E"/>
    <w:rsid w:val="00782F65"/>
    <w:rsid w:val="00784BFF"/>
    <w:rsid w:val="0079378D"/>
    <w:rsid w:val="007D7D10"/>
    <w:rsid w:val="00800DAA"/>
    <w:rsid w:val="00811461"/>
    <w:rsid w:val="00826046"/>
    <w:rsid w:val="008443D6"/>
    <w:rsid w:val="00844C3D"/>
    <w:rsid w:val="00863216"/>
    <w:rsid w:val="00872E33"/>
    <w:rsid w:val="008802D4"/>
    <w:rsid w:val="00884B06"/>
    <w:rsid w:val="00895E02"/>
    <w:rsid w:val="008E2633"/>
    <w:rsid w:val="00960E5D"/>
    <w:rsid w:val="0097525E"/>
    <w:rsid w:val="00987710"/>
    <w:rsid w:val="009B709C"/>
    <w:rsid w:val="00A017C7"/>
    <w:rsid w:val="00A02006"/>
    <w:rsid w:val="00A1789D"/>
    <w:rsid w:val="00A22766"/>
    <w:rsid w:val="00A35749"/>
    <w:rsid w:val="00A50357"/>
    <w:rsid w:val="00A534B1"/>
    <w:rsid w:val="00A55FFC"/>
    <w:rsid w:val="00A77A92"/>
    <w:rsid w:val="00A804DA"/>
    <w:rsid w:val="00A92597"/>
    <w:rsid w:val="00A95204"/>
    <w:rsid w:val="00AA54D6"/>
    <w:rsid w:val="00AB6E4B"/>
    <w:rsid w:val="00AB7B41"/>
    <w:rsid w:val="00AE157C"/>
    <w:rsid w:val="00AF2CD3"/>
    <w:rsid w:val="00AF6D2F"/>
    <w:rsid w:val="00AF78BA"/>
    <w:rsid w:val="00B3437E"/>
    <w:rsid w:val="00B7723D"/>
    <w:rsid w:val="00B91B36"/>
    <w:rsid w:val="00BE5FD6"/>
    <w:rsid w:val="00C076D4"/>
    <w:rsid w:val="00C13026"/>
    <w:rsid w:val="00C45AEA"/>
    <w:rsid w:val="00C60AD8"/>
    <w:rsid w:val="00C83A6B"/>
    <w:rsid w:val="00CB6044"/>
    <w:rsid w:val="00CC1D14"/>
    <w:rsid w:val="00CD0DA3"/>
    <w:rsid w:val="00CE2526"/>
    <w:rsid w:val="00CF3E57"/>
    <w:rsid w:val="00D02696"/>
    <w:rsid w:val="00D17F9F"/>
    <w:rsid w:val="00D40F05"/>
    <w:rsid w:val="00D62F5D"/>
    <w:rsid w:val="00D64E66"/>
    <w:rsid w:val="00D722A6"/>
    <w:rsid w:val="00D8499E"/>
    <w:rsid w:val="00D94226"/>
    <w:rsid w:val="00DA7CCF"/>
    <w:rsid w:val="00DB29A8"/>
    <w:rsid w:val="00DC533F"/>
    <w:rsid w:val="00DE4382"/>
    <w:rsid w:val="00E14ADB"/>
    <w:rsid w:val="00E440A4"/>
    <w:rsid w:val="00E557D6"/>
    <w:rsid w:val="00E60BBE"/>
    <w:rsid w:val="00E7517D"/>
    <w:rsid w:val="00E956B3"/>
    <w:rsid w:val="00E96649"/>
    <w:rsid w:val="00EA357A"/>
    <w:rsid w:val="00EF069A"/>
    <w:rsid w:val="00EF5A9A"/>
    <w:rsid w:val="00F20329"/>
    <w:rsid w:val="00F2093B"/>
    <w:rsid w:val="00F25711"/>
    <w:rsid w:val="00F270DB"/>
    <w:rsid w:val="00F65C86"/>
    <w:rsid w:val="00F92551"/>
    <w:rsid w:val="00F97D95"/>
    <w:rsid w:val="00FC2609"/>
    <w:rsid w:val="00FE1F6E"/>
    <w:rsid w:val="00FF19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C079FE-6B6C-446E-A6ED-D4E70FBED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1835</TotalTime>
  <Pages>9</Pages>
  <Words>4425</Words>
  <Characters>25226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42</cp:revision>
  <cp:lastPrinted>2015-12-01T00:22:00Z</cp:lastPrinted>
  <dcterms:created xsi:type="dcterms:W3CDTF">2015-03-22T23:58:00Z</dcterms:created>
  <dcterms:modified xsi:type="dcterms:W3CDTF">2015-12-01T00:40:00Z</dcterms:modified>
</cp:coreProperties>
</file>