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335" w:rsidRDefault="00460AAD" w:rsidP="00460AAD">
      <w:pPr>
        <w:jc w:val="center"/>
        <w:rPr>
          <w:b/>
        </w:rPr>
      </w:pPr>
      <w:r w:rsidRPr="00460AAD">
        <w:rPr>
          <w:b/>
        </w:rPr>
        <w:t xml:space="preserve">William </w:t>
      </w:r>
      <w:r w:rsidR="00D130DD" w:rsidRPr="00460AAD">
        <w:rPr>
          <w:b/>
        </w:rPr>
        <w:t>Temple</w:t>
      </w:r>
    </w:p>
    <w:p w:rsidR="00460AAD" w:rsidRDefault="00460AAD" w:rsidP="00460AAD">
      <w:r>
        <w:rPr>
          <w:i/>
        </w:rPr>
        <w:t>The Nature of Personality</w:t>
      </w:r>
    </w:p>
    <w:p w:rsidR="00460AAD" w:rsidRDefault="00460AAD" w:rsidP="00460AAD">
      <w:r>
        <w:t>In his early years Temple showed a serious interest in philosophy and theology. Although he never rose to any great heights in these discourses, he did make some interesting suggestions, and it can be argued that his early philosophical grounding underlay much of his later speculations and writings.</w:t>
      </w:r>
    </w:p>
    <w:p w:rsidR="00460AAD" w:rsidRDefault="00460AAD" w:rsidP="00460AAD">
      <w:r>
        <w:t xml:space="preserve">We may find some of his insights in a course of lectures he gave in 1915, which he published as </w:t>
      </w:r>
      <w:r>
        <w:rPr>
          <w:i/>
        </w:rPr>
        <w:t>The Nature of Personality</w:t>
      </w:r>
      <w:r>
        <w:t>.</w:t>
      </w:r>
      <w:r>
        <w:rPr>
          <w:rStyle w:val="FootnoteReference"/>
        </w:rPr>
        <w:footnoteReference w:id="1"/>
      </w:r>
      <w:r w:rsidR="00821CAE">
        <w:t xml:space="preserve"> In the book he treats such quintessential</w:t>
      </w:r>
      <w:r w:rsidR="00E86AEE">
        <w:t>ly</w:t>
      </w:r>
      <w:r w:rsidR="00821CAE">
        <w:t xml:space="preserve"> philosophical themes as materialism, agnosticism, natural laws, epiphenomenalism, </w:t>
      </w:r>
      <w:r w:rsidR="00E86AEE">
        <w:t>will, purpose, ethics, meaning, value, existence and reductionism, as well as commenting briefly on the laws of physics and evolutionary biology.</w:t>
      </w:r>
    </w:p>
    <w:p w:rsidR="00E86AEE" w:rsidRDefault="009A3FFC" w:rsidP="00460AAD">
      <w:r>
        <w:t xml:space="preserve">He saw stances such as materialism and agnosticism as not in themselves independent, original and constructive philosophies. Rather, they arose as protests against deficient spiritual interpretations of experience.  The way in which this happened, and the exact nature of the arguments had varied across human history – and were almost as old as human thought – </w:t>
      </w:r>
      <w:r w:rsidR="00226248">
        <w:t xml:space="preserve">and </w:t>
      </w:r>
      <w:r>
        <w:t xml:space="preserve">had varied according to the </w:t>
      </w:r>
      <w:r w:rsidR="00DC06E7">
        <w:t>culture and historical context of the time. They were, in other words, relativistic; whereas Temple seemed to view the essential core of spiritual thought as timeless. It was the flawed expression of this core that had caused all the trouble for the religious worldview. He put it this way:</w:t>
      </w:r>
    </w:p>
    <w:p w:rsidR="00226248" w:rsidRDefault="00DC06E7" w:rsidP="00460AAD">
      <w:r>
        <w:t>“And so it is true that the responsibility for agnosticism, when it is serious and reverent, rests less with the agnostic than with the exponents of religion; these may not have been in any way to blame; they may have done the best that could be done with the intellectual apparatus furnished by the thought of their age; but the statement was defective, and those who discover this are bound to reject it”. The fault of the agnostic, however, was to take this rejection too far, to empty out the baby with the bathwater. The agnostic typically excluded from his “scientific”</w:t>
      </w:r>
      <w:r w:rsidR="00DA79E7">
        <w:t xml:space="preserve"> view those inexplicable facts of experience that religion tried to deal with. Their science was too tunnel-visioned (a criticism made by so many defenders of religion during this period). But there was a hopeful side to this: “we must remember that it is through the need of answering wrong doctrine that true doctrine is discovered; agnosticism now, as heresy in the early Church, is the chief spur pricking men on to the discovery of theological truth” (pp. xi-xii). Alec Vidler often made the same point.</w:t>
      </w:r>
    </w:p>
    <w:p w:rsidR="00226248" w:rsidRDefault="00226248" w:rsidP="00460AAD">
      <w:r>
        <w:t>Dogmatic materialism had extended the scope of natural law to an extreme view. This view was exclusive, not only denying any scope for divine law, but espousing the doctrine that only matter existed, and that it always behaved according to the laws of nature. But what was matter? Interestingly Temple</w:t>
      </w:r>
      <w:r w:rsidR="00E57C74">
        <w:t xml:space="preserve"> appealed to recent advances in particle physics to question the simplistic materialist views that the world consisted only of “atoms and void”.  Concepts of matter were changing rapidly as atomic theory evolved, as more and more startling and bewildering discoveries were being made about the way the universe was constructed and worked. (He was writing this in 1915. How much more intricate and complex the universe seems to us now in the era of </w:t>
      </w:r>
      <w:r w:rsidR="00A06768">
        <w:t xml:space="preserve">quarks, leptons, </w:t>
      </w:r>
      <w:r w:rsidR="00E57C74">
        <w:t xml:space="preserve">the </w:t>
      </w:r>
      <w:r w:rsidR="00A06768">
        <w:t>Higgs Boson</w:t>
      </w:r>
      <w:r w:rsidR="00E57C74">
        <w:t xml:space="preserve"> particle and the </w:t>
      </w:r>
      <w:r w:rsidR="00A06768">
        <w:t>Large Hadron Collider</w:t>
      </w:r>
      <w:r w:rsidR="00E57C74">
        <w:t>).</w:t>
      </w:r>
    </w:p>
    <w:p w:rsidR="00F2726E" w:rsidRDefault="00E57C74" w:rsidP="00460AAD">
      <w:r>
        <w:lastRenderedPageBreak/>
        <w:t>Temple was opposed to reductio</w:t>
      </w:r>
      <w:bookmarkStart w:id="0" w:name="_GoBack"/>
      <w:bookmarkEnd w:id="0"/>
      <w:r>
        <w:t>nist theories that explained everything in terms of the lowest common denominator</w:t>
      </w:r>
      <w:r w:rsidR="00E1410C">
        <w:t xml:space="preserve">, “terms of mass and motion”. Such theories were incapable of explaining those things that poets and seers spoke about, such as love and hate, feelings and intuitions, </w:t>
      </w:r>
      <w:r w:rsidR="008732EB">
        <w:t xml:space="preserve">consciousness, </w:t>
      </w:r>
      <w:r w:rsidR="00E1410C">
        <w:t>a sense of spiritual awareness that was beyond the mere material world – those things that made us specifically human and were unamenable to empirical analysis.</w:t>
      </w:r>
      <w:r w:rsidR="008732EB">
        <w:t xml:space="preserve"> Temple was dismissive of the agnostic compromise that admitted the existence of a spiritual world but contended that we could not know anything about it. Herbert Spencer had taken a similar position with his doctrine of the Unknowable (which had also annoyed many scientists). </w:t>
      </w:r>
      <w:r w:rsidR="00F2726E">
        <w:t>How can I know that something is unknowable, asked Temple, unless I first know what it is? This was a logical fallacy.</w:t>
      </w:r>
    </w:p>
    <w:p w:rsidR="00710252" w:rsidRDefault="00F2726E" w:rsidP="00460AAD">
      <w:r>
        <w:t>At one level Temple knew well, and even empathised with, current nihilistic worldviews. After all</w:t>
      </w:r>
      <w:r w:rsidR="00DC0ED4">
        <w:t xml:space="preserve"> the cataclysmic</w:t>
      </w:r>
      <w:r w:rsidR="00DA11C8">
        <w:t xml:space="preserve"> First World War</w:t>
      </w:r>
      <w:r>
        <w:t xml:space="preserve"> was raging as he wrote</w:t>
      </w:r>
      <w:r w:rsidR="00DC0ED4">
        <w:t>. B</w:t>
      </w:r>
      <w:r>
        <w:t xml:space="preserve">ut there were wider perspectives that had emerged in end-of-the-century western culture, an age of intellectual crisis and doomsday prophesies. The sciences had revolutionised the human outlook. </w:t>
      </w:r>
      <w:r w:rsidR="00710252">
        <w:t xml:space="preserve"> Take astronomy for example: “astronomy came and showed us that this earth of ours, the scene of all our endeavours, is a twirling speck, revolving with quite startling futility about one of the minor stars, always coming back to the same place and always setting out on the ridiculous round again; and it is growing cold, and where, then will be our aspirations and struggles and the cities we have built? Surely everyone who has looked at the sky on a starry night must have wondered if he is not the merest accident”.</w:t>
      </w:r>
      <w:r w:rsidR="008732EB">
        <w:t xml:space="preserve"> </w:t>
      </w:r>
      <w:r w:rsidR="00710252">
        <w:t>Geology had revealed incredible vistas in the past history of the earth, had made our whole history a moment in infinite time; while “Biology made our boasted faculties an incident in a process whose beginning and end are alike unknown. And we are left, helpless in a vast machine-like universe”, quite indifferent to us (pp.</w:t>
      </w:r>
      <w:r w:rsidR="00DC0ED4">
        <w:t xml:space="preserve"> </w:t>
      </w:r>
      <w:r w:rsidR="00710252">
        <w:t>xxi-xxii). No wonder people asked how this</w:t>
      </w:r>
      <w:r w:rsidR="00DC0ED4">
        <w:t xml:space="preserve"> vast indifferent system could be an expression of a divine purpose!</w:t>
      </w:r>
      <w:r w:rsidR="00710252">
        <w:t xml:space="preserve"> </w:t>
      </w:r>
    </w:p>
    <w:p w:rsidR="001F0AFF" w:rsidRDefault="00DA11C8" w:rsidP="00460AAD">
      <w:r>
        <w:t>Temple however did believe in divine purpose. Divine purpose, he said, was a scientific necessity: “All other categories or principles of thought fail absolutely to give any final answer to our problems. The principle of causation drives us back from stage to stage, with no prospect of ever reaching a First Cause. Only Purpose, so far as our experience goes, can give a final answer satisfying the intellect, to the question, ‘Why?’” (p.xxiv).</w:t>
      </w:r>
    </w:p>
    <w:p w:rsidR="00D5077E" w:rsidRDefault="00D5077E" w:rsidP="00460AAD">
      <w:r>
        <w:t>Temple was a critic of reductionism, which he saw as rampant in much of social evolutionary theory. It is worth quoting him at some length on this matter:</w:t>
      </w:r>
    </w:p>
    <w:p w:rsidR="00D729E1" w:rsidRDefault="00D5077E" w:rsidP="00460AAD">
      <w:r>
        <w:t xml:space="preserve"> “As we look at the continuous course of Evolution, we ought not to say: ‘After all, it all comes from a nebula with no life or meaning, so it, too, is without life or meaning’. Rather we should say: ‘See what has come from that dead nebula; how full of potentiality it really was’.  We cannot interpret the higher and more complex in terms of the lower and simpler; rather we must interpret the lower in terms of the higher, seeing in it the potentiality of the latter. Origin is not to be confused with either essence or validity. If people tell us that religion is the survival of natural magic, we reply: ‘And so is the science that told you so; but that does not affect the validity either of the science or the religion’. The true meaning of evolution is surely this – the world moves on to ever greater manifestations of its capacity</w:t>
      </w:r>
      <w:r w:rsidR="00D729E1">
        <w:t xml:space="preserve">; what remains in the future we do not know; but the greatest thing the world has yet produced is the spiritual being which we call Man; and while we know that Personality, as Man possesses it, must be inadequate to express the nature of the Supreme Principle, yet it is the most adequate term we have. We are agnostic in this – that we confess our inability to know the </w:t>
      </w:r>
      <w:r w:rsidR="00D729E1">
        <w:lastRenderedPageBreak/>
        <w:t>Supreme Being perfectly; but still we know that He is more adequately conceived as a Person than as a mere sum of blind laws of Nature” (p. xxx).</w:t>
      </w:r>
    </w:p>
    <w:p w:rsidR="00710252" w:rsidRDefault="00B4007D" w:rsidP="00460AAD">
      <w:r>
        <w:t>To those who objected that this was interpreting the spiritual through the material, Temple replied that this was in fact orthodox theology. It was in fact the doctrine of the Incarnation.  The divine spirit operated through nature and humanity: “it only operates perfectly through the One Man who is its perfect embodiment”.   Indeed Temple saw Christianity as the only religion that did justice to the physical, whereas other spiritual interpretations treated physical life as illusory or negligible.  But Christ was the great healer of bodies and his central doctrine was the word made flesh, or the Incarnation.</w:t>
      </w:r>
    </w:p>
    <w:p w:rsidR="00B4007D" w:rsidRDefault="00B4007D" w:rsidP="00460AAD">
      <w:r>
        <w:t>Finally, Temple empathised with those who felt depressed, perplexed or hopeless in the face of the world, its evils</w:t>
      </w:r>
      <w:r w:rsidR="007C750B">
        <w:t xml:space="preserve">, sufferings and apparent pointlessness. Not only was this felt by agnostics, atheists and poets, but also by many Christians. He himself admitted to such feelings of despair, as had prophets and saints. </w:t>
      </w:r>
      <w:r w:rsidR="00C3583C">
        <w:t>However</w:t>
      </w:r>
      <w:r w:rsidR="007C750B">
        <w:t xml:space="preserve"> through suffering, he believed or </w:t>
      </w:r>
      <w:proofErr w:type="gramStart"/>
      <w:r w:rsidR="007C750B">
        <w:t>hoped,</w:t>
      </w:r>
      <w:proofErr w:type="gramEnd"/>
      <w:r w:rsidR="007C750B">
        <w:t xml:space="preserve"> came ultimate truth: “But still we believe – though often with doubt and trembling – that the secret of the universe is made known to us in Christ” (p.</w:t>
      </w:r>
      <w:r w:rsidR="00C3583C">
        <w:t xml:space="preserve"> </w:t>
      </w:r>
      <w:r w:rsidR="007C750B">
        <w:t xml:space="preserve">xxxii). </w:t>
      </w:r>
    </w:p>
    <w:p w:rsidR="00E57C74" w:rsidRDefault="00E1410C" w:rsidP="00460AAD">
      <w:r>
        <w:t xml:space="preserve"> </w:t>
      </w:r>
    </w:p>
    <w:p w:rsidR="00226248" w:rsidRDefault="00226248" w:rsidP="00460AAD"/>
    <w:p w:rsidR="00DC06E7" w:rsidRPr="00460AAD" w:rsidRDefault="00DA79E7" w:rsidP="00460AAD">
      <w:r>
        <w:t xml:space="preserve"> </w:t>
      </w:r>
    </w:p>
    <w:sectPr w:rsidR="00DC06E7" w:rsidRPr="00460AA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3B1" w:rsidRDefault="009043B1" w:rsidP="00460AAD">
      <w:pPr>
        <w:spacing w:after="0" w:line="240" w:lineRule="auto"/>
      </w:pPr>
      <w:r>
        <w:separator/>
      </w:r>
    </w:p>
  </w:endnote>
  <w:endnote w:type="continuationSeparator" w:id="0">
    <w:p w:rsidR="009043B1" w:rsidRDefault="009043B1" w:rsidP="00460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765655"/>
      <w:docPartObj>
        <w:docPartGallery w:val="Page Numbers (Bottom of Page)"/>
        <w:docPartUnique/>
      </w:docPartObj>
    </w:sdtPr>
    <w:sdtEndPr>
      <w:rPr>
        <w:noProof/>
      </w:rPr>
    </w:sdtEndPr>
    <w:sdtContent>
      <w:p w:rsidR="00D729E1" w:rsidRDefault="00D729E1">
        <w:pPr>
          <w:pStyle w:val="Footer"/>
          <w:jc w:val="center"/>
        </w:pPr>
        <w:r>
          <w:fldChar w:fldCharType="begin"/>
        </w:r>
        <w:r>
          <w:instrText xml:space="preserve"> PAGE   \* MERGEFORMAT </w:instrText>
        </w:r>
        <w:r>
          <w:fldChar w:fldCharType="separate"/>
        </w:r>
        <w:r w:rsidR="00C3583C">
          <w:rPr>
            <w:noProof/>
          </w:rPr>
          <w:t>2</w:t>
        </w:r>
        <w:r>
          <w:rPr>
            <w:noProof/>
          </w:rPr>
          <w:fldChar w:fldCharType="end"/>
        </w:r>
      </w:p>
    </w:sdtContent>
  </w:sdt>
  <w:p w:rsidR="00D729E1" w:rsidRDefault="00D729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3B1" w:rsidRDefault="009043B1" w:rsidP="00460AAD">
      <w:pPr>
        <w:spacing w:after="0" w:line="240" w:lineRule="auto"/>
      </w:pPr>
      <w:r>
        <w:separator/>
      </w:r>
    </w:p>
  </w:footnote>
  <w:footnote w:type="continuationSeparator" w:id="0">
    <w:p w:rsidR="009043B1" w:rsidRDefault="009043B1" w:rsidP="00460AAD">
      <w:pPr>
        <w:spacing w:after="0" w:line="240" w:lineRule="auto"/>
      </w:pPr>
      <w:r>
        <w:continuationSeparator/>
      </w:r>
    </w:p>
  </w:footnote>
  <w:footnote w:id="1">
    <w:p w:rsidR="00460AAD" w:rsidRPr="00460AAD" w:rsidRDefault="00460AAD">
      <w:pPr>
        <w:pStyle w:val="FootnoteText"/>
      </w:pPr>
      <w:r>
        <w:rPr>
          <w:rStyle w:val="FootnoteReference"/>
        </w:rPr>
        <w:footnoteRef/>
      </w:r>
      <w:r>
        <w:t xml:space="preserve"> William Temple, </w:t>
      </w:r>
      <w:proofErr w:type="gramStart"/>
      <w:r>
        <w:rPr>
          <w:i/>
        </w:rPr>
        <w:t>The</w:t>
      </w:r>
      <w:proofErr w:type="gramEnd"/>
      <w:r>
        <w:rPr>
          <w:i/>
        </w:rPr>
        <w:t xml:space="preserve"> Nature of Personality: A Course of Lectures</w:t>
      </w:r>
      <w:r>
        <w:t xml:space="preserve"> (London, Macmillan, 1915). Following references in the text are from this source.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0DD"/>
    <w:rsid w:val="000838CE"/>
    <w:rsid w:val="00113E22"/>
    <w:rsid w:val="001F0AFF"/>
    <w:rsid w:val="00226248"/>
    <w:rsid w:val="003E05C0"/>
    <w:rsid w:val="00460AAD"/>
    <w:rsid w:val="00490EA3"/>
    <w:rsid w:val="00710252"/>
    <w:rsid w:val="007C750B"/>
    <w:rsid w:val="007E6012"/>
    <w:rsid w:val="00821CAE"/>
    <w:rsid w:val="008732EB"/>
    <w:rsid w:val="009043B1"/>
    <w:rsid w:val="009A3FFC"/>
    <w:rsid w:val="00A06768"/>
    <w:rsid w:val="00A20FCA"/>
    <w:rsid w:val="00B4007D"/>
    <w:rsid w:val="00C3583C"/>
    <w:rsid w:val="00C94335"/>
    <w:rsid w:val="00D130DD"/>
    <w:rsid w:val="00D5077E"/>
    <w:rsid w:val="00D55131"/>
    <w:rsid w:val="00D729E1"/>
    <w:rsid w:val="00DA11C8"/>
    <w:rsid w:val="00DA79E7"/>
    <w:rsid w:val="00DC06E7"/>
    <w:rsid w:val="00DC0ED4"/>
    <w:rsid w:val="00E1410C"/>
    <w:rsid w:val="00E57C74"/>
    <w:rsid w:val="00E86AEE"/>
    <w:rsid w:val="00EF21CB"/>
    <w:rsid w:val="00F272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60A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AAD"/>
    <w:rPr>
      <w:sz w:val="20"/>
      <w:szCs w:val="20"/>
    </w:rPr>
  </w:style>
  <w:style w:type="character" w:styleId="FootnoteReference">
    <w:name w:val="footnote reference"/>
    <w:basedOn w:val="DefaultParagraphFont"/>
    <w:uiPriority w:val="99"/>
    <w:semiHidden/>
    <w:unhideWhenUsed/>
    <w:rsid w:val="00460AAD"/>
    <w:rPr>
      <w:vertAlign w:val="superscript"/>
    </w:rPr>
  </w:style>
  <w:style w:type="paragraph" w:styleId="Header">
    <w:name w:val="header"/>
    <w:basedOn w:val="Normal"/>
    <w:link w:val="HeaderChar"/>
    <w:uiPriority w:val="99"/>
    <w:unhideWhenUsed/>
    <w:rsid w:val="00D729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9E1"/>
  </w:style>
  <w:style w:type="paragraph" w:styleId="Footer">
    <w:name w:val="footer"/>
    <w:basedOn w:val="Normal"/>
    <w:link w:val="FooterChar"/>
    <w:uiPriority w:val="99"/>
    <w:unhideWhenUsed/>
    <w:rsid w:val="00D729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9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60A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AAD"/>
    <w:rPr>
      <w:sz w:val="20"/>
      <w:szCs w:val="20"/>
    </w:rPr>
  </w:style>
  <w:style w:type="character" w:styleId="FootnoteReference">
    <w:name w:val="footnote reference"/>
    <w:basedOn w:val="DefaultParagraphFont"/>
    <w:uiPriority w:val="99"/>
    <w:semiHidden/>
    <w:unhideWhenUsed/>
    <w:rsid w:val="00460AAD"/>
    <w:rPr>
      <w:vertAlign w:val="superscript"/>
    </w:rPr>
  </w:style>
  <w:style w:type="paragraph" w:styleId="Header">
    <w:name w:val="header"/>
    <w:basedOn w:val="Normal"/>
    <w:link w:val="HeaderChar"/>
    <w:uiPriority w:val="99"/>
    <w:unhideWhenUsed/>
    <w:rsid w:val="00D729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9E1"/>
  </w:style>
  <w:style w:type="paragraph" w:styleId="Footer">
    <w:name w:val="footer"/>
    <w:basedOn w:val="Normal"/>
    <w:link w:val="FooterChar"/>
    <w:uiPriority w:val="99"/>
    <w:unhideWhenUsed/>
    <w:rsid w:val="00D729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9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EF52F-07AB-4D47-B0DD-78C265428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3</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15</cp:revision>
  <cp:lastPrinted>2016-09-28T23:50:00Z</cp:lastPrinted>
  <dcterms:created xsi:type="dcterms:W3CDTF">2016-09-27T23:38:00Z</dcterms:created>
  <dcterms:modified xsi:type="dcterms:W3CDTF">2016-10-03T06:10:00Z</dcterms:modified>
</cp:coreProperties>
</file>