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4335" w:rsidRDefault="00460AAD" w:rsidP="00460AAD">
      <w:pPr>
        <w:jc w:val="center"/>
        <w:rPr>
          <w:b/>
        </w:rPr>
      </w:pPr>
      <w:r w:rsidRPr="00460AAD">
        <w:rPr>
          <w:b/>
        </w:rPr>
        <w:t xml:space="preserve">William </w:t>
      </w:r>
      <w:r w:rsidR="00D130DD" w:rsidRPr="00460AAD">
        <w:rPr>
          <w:b/>
        </w:rPr>
        <w:t>Temple</w:t>
      </w:r>
    </w:p>
    <w:p w:rsidR="00EA4FE7" w:rsidRDefault="00EA4FE7" w:rsidP="00EA4FE7">
      <w:r>
        <w:rPr>
          <w:i/>
        </w:rPr>
        <w:t>Brief Life</w:t>
      </w:r>
    </w:p>
    <w:p w:rsidR="00EA4FE7" w:rsidRDefault="00EA4FE7" w:rsidP="00EA4FE7">
      <w:r>
        <w:t xml:space="preserve">William Temple (1881-1944) was a leading Anglican </w:t>
      </w:r>
      <w:r w:rsidR="00900578">
        <w:t>churchman;</w:t>
      </w:r>
      <w:r>
        <w:t xml:space="preserve"> some think the most significant Anglican churchman of the twentieth century.  Leading a full and active (even hyperactive) life as cleric, writer, social reformer and much else, Temple was a pioneer of the ecumenical movement, who worked tirelessly to bring together Christians and Jews, Anglicans, Catholics and Protestants. He was a great mediator and peace dealer, playing a key role, for example, in bringing the warring sides of capital and labour to a compromise after the divisive General Strike of 1926. </w:t>
      </w:r>
      <w:r w:rsidR="00900578">
        <w:t>He helped found both the Anglican and World Council of Churches in 1937. Although born into the privileged elite, he promoted labour causes, especially the elimination of poverty and the provision of universal education and health services.</w:t>
      </w:r>
      <w:r w:rsidR="00B90DDB">
        <w:t xml:space="preserve"> He was the first president of the Workers’ Educational Association (WEA), 19</w:t>
      </w:r>
      <w:r w:rsidR="00466C2C">
        <w:t>08</w:t>
      </w:r>
      <w:r w:rsidR="00B90DDB">
        <w:t xml:space="preserve">-24, and a member of the Labour Party from 1918-1924. His thoughts on religion and social reform were perhaps best expressed in his best-selling book </w:t>
      </w:r>
      <w:r w:rsidR="00B90DDB">
        <w:rPr>
          <w:i/>
        </w:rPr>
        <w:t>Christianity and Social Order</w:t>
      </w:r>
      <w:r w:rsidR="00B90DDB">
        <w:t xml:space="preserve"> (1942). </w:t>
      </w:r>
    </w:p>
    <w:p w:rsidR="00900578" w:rsidRDefault="00900578" w:rsidP="00EA4FE7">
      <w:r>
        <w:t xml:space="preserve">He rose spectacularly through Anglican ranks from cleric </w:t>
      </w:r>
      <w:r w:rsidR="007A0F4E">
        <w:t xml:space="preserve">to Archbishop of Canterbury. His </w:t>
      </w:r>
      <w:r>
        <w:t xml:space="preserve">background helped. His father was Frederick Temple (1881-1902), Archbishop of Canterbury. His mother came from the upper aristocracy. William was educated at Rugby and Balliol College, Oxford (a fellow student and </w:t>
      </w:r>
      <w:r w:rsidR="002506F2">
        <w:t>lifelong</w:t>
      </w:r>
      <w:r>
        <w:t xml:space="preserve"> friend of R. H. Tawney</w:t>
      </w:r>
      <w:r w:rsidR="002506F2">
        <w:t>, the famous labour historian). He graduated with a double first and, typically, became president of the Oxford Union. He was a great joiner and loved committee work, which was just as well as he did a gargantuan amount of it during his life.</w:t>
      </w:r>
      <w:r w:rsidR="00F2526C">
        <w:t xml:space="preserve"> He also wrote constantly during his life</w:t>
      </w:r>
      <w:r w:rsidR="00CC3579">
        <w:t xml:space="preserve"> (thirty-four books and seventy pamphlets)</w:t>
      </w:r>
      <w:r w:rsidR="00F2526C">
        <w:t>.</w:t>
      </w:r>
      <w:r w:rsidR="002506F2">
        <w:t xml:space="preserve"> </w:t>
      </w:r>
    </w:p>
    <w:p w:rsidR="00A41194" w:rsidRDefault="00524F93" w:rsidP="00EA4FE7">
      <w:r>
        <w:t>Temple became a fellow and lecturer at Queen’s College, Oxford, 1904-1910; was ordained in 1908, and was headmaster of Repton School 1910-1914, after which he became a fulltime cleric</w:t>
      </w:r>
      <w:r w:rsidR="00F2526C">
        <w:t>. He married Frances Anson in 1916, and was</w:t>
      </w:r>
      <w:r>
        <w:t xml:space="preserve"> made Bishop of Manchester in 1921</w:t>
      </w:r>
      <w:r w:rsidR="00B90DDB">
        <w:t>,</w:t>
      </w:r>
      <w:r>
        <w:t xml:space="preserve"> Archbishop of York in 1929, and Archbishop of Canterbury – Anglicanism’s top job – in 1942.</w:t>
      </w:r>
      <w:r w:rsidR="003D2E58">
        <w:t xml:space="preserve"> Never a pacifist, he strongly supported the war effort against Hitler. He envisioned a key role for the churches in a post-war welfare state</w:t>
      </w:r>
      <w:r w:rsidR="00951DCE">
        <w:rPr>
          <w:rStyle w:val="FootnoteReference"/>
        </w:rPr>
        <w:footnoteReference w:id="1"/>
      </w:r>
      <w:r w:rsidR="003D2E58">
        <w:t xml:space="preserve">, as explained in many writings, including </w:t>
      </w:r>
      <w:r w:rsidR="003D2E58">
        <w:rPr>
          <w:i/>
        </w:rPr>
        <w:t>The Church Looks Forward</w:t>
      </w:r>
      <w:r w:rsidR="003D2E58">
        <w:t xml:space="preserve"> (1944). He was never to see such things. Worn down by work and hereditary gout, he died on 26 October 1944. He was cremated and his ashes deposited </w:t>
      </w:r>
      <w:r w:rsidR="00CC3579">
        <w:t>in the grounds of</w:t>
      </w:r>
      <w:r w:rsidR="003D2E58">
        <w:t xml:space="preserve"> Canterbury Cathedral.</w:t>
      </w:r>
      <w:r w:rsidR="003D2E58">
        <w:rPr>
          <w:rStyle w:val="FootnoteReference"/>
        </w:rPr>
        <w:footnoteReference w:id="2"/>
      </w:r>
    </w:p>
    <w:p w:rsidR="00A41194" w:rsidRDefault="00A41194" w:rsidP="00A41194">
      <w:r>
        <w:t>What sort of personality was he? We have many contemporary impressions of him. What is striking, to me anyway, is the absence of animosity towards him. He was personally popular and respected, seen as a decent human being. He was chubby, genial and sociable, able to meet people on their own grounds, able to see all sides of an argument. If anything, some commentators have seen him as too accommodating, avoiding confrontation, apt to side-step certain fraught issues. He could be outspoken when his conscience dictated, however, as when he loudly condemned the Nazi policy of Jewish extermination.</w:t>
      </w:r>
    </w:p>
    <w:p w:rsidR="00900578" w:rsidRPr="007A0F4E" w:rsidRDefault="003D2E58" w:rsidP="00EA4FE7">
      <w:r>
        <w:t xml:space="preserve">What of his ideas? </w:t>
      </w:r>
      <w:r w:rsidR="00FE005A">
        <w:t xml:space="preserve">As Adrian Hastings notes in his entry on Temple for the </w:t>
      </w:r>
      <w:r w:rsidR="00FE005A">
        <w:rPr>
          <w:i/>
        </w:rPr>
        <w:t>Oxford DNB</w:t>
      </w:r>
      <w:r w:rsidR="00FE005A">
        <w:t xml:space="preserve">, Balliol had a great intellectual influence upon him, as upon so many. Edward Caird was master of Balliol, and </w:t>
      </w:r>
      <w:r w:rsidR="00FE005A">
        <w:lastRenderedPageBreak/>
        <w:t>Caird’s neo-Hegelian Idealism “provided the philosophical inspiration for many of his academic writings”. (Caird also influenced Tawney).</w:t>
      </w:r>
      <w:r w:rsidR="00524F93">
        <w:t xml:space="preserve"> </w:t>
      </w:r>
      <w:r w:rsidR="00FE005A">
        <w:t xml:space="preserve">Hastings adds that Temple’s intellectual grasp “embraced the classics, philosophy, music and poetry, but it excelled in the self-confidence of his own interpretation more than in academic precision, though his judgement was never careless”. </w:t>
      </w:r>
      <w:r w:rsidR="007A0F4E">
        <w:t>Like C. S. Lewis, Temple was influenced by the philosophies of Alfred Whitehead and Samuel Alexander;</w:t>
      </w:r>
      <w:r w:rsidR="00780B6E">
        <w:t xml:space="preserve"> also by the crisis theology of Karl Barth and Reinhold Niebuhr; </w:t>
      </w:r>
      <w:r w:rsidR="007A0F4E">
        <w:t xml:space="preserve">and he has been judged to be one of the first Anglican theologians to engage with process theology and the social-biological theories of emergent evolution (most notably in his </w:t>
      </w:r>
      <w:r w:rsidR="007A0F4E">
        <w:rPr>
          <w:i/>
        </w:rPr>
        <w:t>Nature, Man and God</w:t>
      </w:r>
      <w:r w:rsidR="007A0F4E">
        <w:t>, 1934</w:t>
      </w:r>
      <w:r w:rsidR="00F2526C">
        <w:t xml:space="preserve">, although he had written an earlier philosophical work called </w:t>
      </w:r>
      <w:proofErr w:type="spellStart"/>
      <w:r w:rsidR="00F2526C">
        <w:rPr>
          <w:i/>
        </w:rPr>
        <w:t>Mens</w:t>
      </w:r>
      <w:proofErr w:type="spellEnd"/>
      <w:r w:rsidR="00F2526C">
        <w:rPr>
          <w:i/>
        </w:rPr>
        <w:t xml:space="preserve"> </w:t>
      </w:r>
      <w:proofErr w:type="spellStart"/>
      <w:r w:rsidR="00F2526C">
        <w:rPr>
          <w:i/>
        </w:rPr>
        <w:t>Creatix</w:t>
      </w:r>
      <w:proofErr w:type="spellEnd"/>
      <w:r w:rsidR="00F2526C">
        <w:rPr>
          <w:i/>
        </w:rPr>
        <w:t>,</w:t>
      </w:r>
      <w:r w:rsidR="00F2526C">
        <w:t xml:space="preserve"> “The Creative Mind”, in 1917</w:t>
      </w:r>
      <w:r w:rsidR="007A0F4E">
        <w:t>).</w:t>
      </w:r>
      <w:r w:rsidR="00CC2815">
        <w:rPr>
          <w:rStyle w:val="FootnoteReference"/>
        </w:rPr>
        <w:footnoteReference w:id="3"/>
      </w:r>
    </w:p>
    <w:p w:rsidR="00460AAD" w:rsidRDefault="00460AAD" w:rsidP="00460AAD">
      <w:r>
        <w:rPr>
          <w:i/>
        </w:rPr>
        <w:t>The Nature of Personality</w:t>
      </w:r>
    </w:p>
    <w:p w:rsidR="00460AAD" w:rsidRDefault="00460AAD" w:rsidP="00460AAD">
      <w:r>
        <w:t>In his early years Temple showed a serious interest in philosophy and theology. Although he never rose to any great heights in these discourses, he did make some interesting suggestions, and it can be argued that his early philosophical grounding underlay much of his later speculations and writings.</w:t>
      </w:r>
    </w:p>
    <w:p w:rsidR="00460AAD" w:rsidRDefault="00460AAD" w:rsidP="00460AAD">
      <w:r>
        <w:t xml:space="preserve">We may find some of his insights in a course of lectures he gave in 1915, which he published as </w:t>
      </w:r>
      <w:r>
        <w:rPr>
          <w:i/>
        </w:rPr>
        <w:t>The Nature of Personality</w:t>
      </w:r>
      <w:r>
        <w:t>.</w:t>
      </w:r>
      <w:r>
        <w:rPr>
          <w:rStyle w:val="FootnoteReference"/>
        </w:rPr>
        <w:footnoteReference w:id="4"/>
      </w:r>
      <w:r w:rsidR="00821CAE">
        <w:t xml:space="preserve"> In the book he treats such quintessential</w:t>
      </w:r>
      <w:r w:rsidR="00E86AEE">
        <w:t>ly</w:t>
      </w:r>
      <w:r w:rsidR="00821CAE">
        <w:t xml:space="preserve"> philosophical themes as materialism, agnosticism, natural laws, epiphenomenalism, </w:t>
      </w:r>
      <w:r w:rsidR="00E86AEE">
        <w:t>will, purpose, ethics, meaning, value, existence and reductionism, as well as commenting briefly on the laws of physics and evolutionary biology.</w:t>
      </w:r>
    </w:p>
    <w:p w:rsidR="00E86AEE" w:rsidRDefault="009A3FFC" w:rsidP="00460AAD">
      <w:r>
        <w:t xml:space="preserve">He saw stances such as materialism and agnosticism as not in themselves independent, original and constructive philosophies. Rather, they arose as protests against deficient spiritual interpretations of experience.  The way in which this happened, and the exact nature of the arguments had varied across human history – and were almost as old as human thought – </w:t>
      </w:r>
      <w:r w:rsidR="00226248">
        <w:t xml:space="preserve">and </w:t>
      </w:r>
      <w:r>
        <w:t xml:space="preserve">had varied according to the </w:t>
      </w:r>
      <w:r w:rsidR="00DC06E7">
        <w:t>culture and historical context of the time. They were, in other words, relativistic; whereas Temple seemed to view the essential core of spiritual thought as timeless. It was the flawed expression of this core that had caused all the trouble for the religious worldview. He put it this way:</w:t>
      </w:r>
    </w:p>
    <w:p w:rsidR="00226248" w:rsidRDefault="00DC06E7" w:rsidP="00460AAD">
      <w:r>
        <w:t>“And so it is true that the responsibility for agnosticism, when it is serious and reverent, rests less with the agnostic than with the exponents of religion; these may not have been in any way to blame; they may have done the best that could be done with the intellectual apparatus furnished by the thought of their age; but the statement was defective, and those who discover this are bound to reject it”. The fault of the agnostic, however, was to take this rejection too far, to empty out the baby with the bathwater. The agnostic typically excluded from his “scientific”</w:t>
      </w:r>
      <w:r w:rsidR="00DA79E7">
        <w:t xml:space="preserve"> view those inexplicable facts of experience that religion tried to deal with. Their science was too tunnel-visioned (a criticism made by so many defenders of religion during this period). But there was a hopeful side to this: “we must remember that it is through the need of answering wrong doctrine that true doctrine is </w:t>
      </w:r>
      <w:r w:rsidR="00DA79E7">
        <w:lastRenderedPageBreak/>
        <w:t>discovered; agnosticism now, as heresy in the early Church, is the chief spur pricking men on to the discovery of theological truth” (pp. xi-xii). Alec Vidler often made the same point.</w:t>
      </w:r>
    </w:p>
    <w:p w:rsidR="00226248" w:rsidRDefault="00226248" w:rsidP="00460AAD">
      <w:r>
        <w:t>Dogmatic materialism had extended the scope of natural law to an extreme view. This view was exclusive, not only denying any scope for divine law, but espousing the doctrine that only matter existed, and that it always behaved according to the laws of nature. But what was matter? Interestingly Temple</w:t>
      </w:r>
      <w:r w:rsidR="00E57C74">
        <w:t xml:space="preserve"> appealed to recent advances in particle physics to question the simplistic materialist views that the world consisted only of “atoms and void”.  Concepts of matter were changing rapidly as atomic theory evolved, as more and more startling and bewildering discoveries were being made about the way the universe was constructed and worked. (He was writing this in 1915. How much more intricate and complex the universe seems to us now in the era of </w:t>
      </w:r>
      <w:r w:rsidR="00A06768">
        <w:t xml:space="preserve">quarks, leptons, </w:t>
      </w:r>
      <w:r w:rsidR="00E57C74">
        <w:t xml:space="preserve">the </w:t>
      </w:r>
      <w:r w:rsidR="00A06768">
        <w:t>Higgs Boson</w:t>
      </w:r>
      <w:r w:rsidR="00E57C74">
        <w:t xml:space="preserve"> particle and the </w:t>
      </w:r>
      <w:r w:rsidR="00A06768">
        <w:t>Large Hadron Collider</w:t>
      </w:r>
      <w:r w:rsidR="00E57C74">
        <w:t>).</w:t>
      </w:r>
    </w:p>
    <w:p w:rsidR="00F2726E" w:rsidRDefault="00E57C74" w:rsidP="00460AAD">
      <w:r>
        <w:t>Temple was opposed to reductionist theories that explained everything in terms of the lowest common denominator</w:t>
      </w:r>
      <w:r w:rsidR="00E1410C">
        <w:t xml:space="preserve">, “terms of mass and motion”. Such theories were incapable of explaining those things that poets and seers spoke about, such as love and hate, feelings and intuitions, </w:t>
      </w:r>
      <w:r w:rsidR="008732EB">
        <w:t xml:space="preserve">consciousness, </w:t>
      </w:r>
      <w:r w:rsidR="00E1410C">
        <w:t>a sense of spiritual awareness that was beyond the mere material world – those things that made us specifically human and were unamenable to empirical analysis.</w:t>
      </w:r>
      <w:r w:rsidR="008732EB">
        <w:t xml:space="preserve"> Temple was dismissive of the agnostic compromise that admitted the existence of a spiritual world but contended that we could not know anything about it. Herbert Spencer had taken a similar position with his doctrine of the Unknowable (which had also annoyed many scientists). </w:t>
      </w:r>
      <w:r w:rsidR="00F2726E">
        <w:t>How can I know that something is unknowable, asked Temple, unless I first know what it is? This was a logical fallacy.</w:t>
      </w:r>
    </w:p>
    <w:p w:rsidR="00710252" w:rsidRDefault="00F2726E" w:rsidP="00460AAD">
      <w:r>
        <w:t>At one level Temple knew well, and even empathised with, current nihilistic worldviews. After all</w:t>
      </w:r>
      <w:r w:rsidR="00DC0ED4">
        <w:t xml:space="preserve"> the cataclysmic</w:t>
      </w:r>
      <w:r w:rsidR="00DA11C8">
        <w:t xml:space="preserve"> First World War</w:t>
      </w:r>
      <w:r>
        <w:t xml:space="preserve"> was raging as he wrote</w:t>
      </w:r>
      <w:r w:rsidR="00DC0ED4">
        <w:t>. B</w:t>
      </w:r>
      <w:r>
        <w:t xml:space="preserve">ut there were wider perspectives that had emerged in end-of-the-century western culture, an age of intellectual crisis and doomsday prophesies. The sciences had revolutionised the human outlook. </w:t>
      </w:r>
      <w:r w:rsidR="00710252">
        <w:t xml:space="preserve"> Take astronomy for example: “astronomy came and showed us that this earth of ours, the scene of all our endeavours, is a twirling speck, revolving with quite startling futility about one of the minor stars, always coming back to the same place and always setting out on the ridiculous round again; and it is growing cold, and where, then will be our aspirations and struggles and the cities we have built? Surely everyone who has looked at the sky on a starry night must have wondered if he is not the merest accident”.</w:t>
      </w:r>
      <w:r w:rsidR="008732EB">
        <w:t xml:space="preserve"> </w:t>
      </w:r>
      <w:r w:rsidR="00710252">
        <w:t>Geology had revealed incredible vistas in the past history of the earth, had made our whole history a moment in infinite time; while “Biology made our boasted faculties an incident in a process whose beginning and end are alike unknown. And we are left, helpless in a vast machine-like universe”, quite indifferent to us (pp.</w:t>
      </w:r>
      <w:r w:rsidR="00DC0ED4">
        <w:t xml:space="preserve"> </w:t>
      </w:r>
      <w:r w:rsidR="00710252">
        <w:t>xxi-xxii). No wonder people asked how this</w:t>
      </w:r>
      <w:r w:rsidR="00DC0ED4">
        <w:t xml:space="preserve"> vast indifferent system could be an expression of a divine purpose!</w:t>
      </w:r>
      <w:r w:rsidR="00710252">
        <w:t xml:space="preserve"> </w:t>
      </w:r>
    </w:p>
    <w:p w:rsidR="001F0AFF" w:rsidRDefault="00DA11C8" w:rsidP="00460AAD">
      <w:r>
        <w:t>Temple however did believe in divine purpose. Divine purpose, he said, was a scientific necessity: “All other categories or principles of thought fail absolutely to give any final answer to our problems. The principle of causation drives us back from stage to stage, with no prospect of ever reaching a First Cause. Only Purpose, so far as our experience goes, can give a final answer satisfying the intellect, to the question, ‘Why?’” (p.xxiv).</w:t>
      </w:r>
    </w:p>
    <w:p w:rsidR="00D5077E" w:rsidRDefault="00D5077E" w:rsidP="00460AAD">
      <w:r>
        <w:t>Temple was a critic of reductionism, which he saw as rampant in much of social evolutionary theory. It is worth quoting him at some length on this matter:</w:t>
      </w:r>
    </w:p>
    <w:p w:rsidR="00D729E1" w:rsidRDefault="00D5077E" w:rsidP="00460AAD">
      <w:r>
        <w:lastRenderedPageBreak/>
        <w:t xml:space="preserve"> “As we look at the continuous course of Evolution, we ought not to say: ‘After all, it all comes from a nebula with no life or meaning, so it, too, is without life or meaning’. Rather we should say: ‘See what has come from that dead nebula; how full of potentiality it really was’.  We cannot interpret the higher and more complex in terms of the lower and simpler; rather we must interpret the lower in terms of the higher, seeing in it the potentiality of the latter. Origin is not to be confused with either essence or validity. If people tell us that religion is the survival of natural magic, we reply: ‘And so is the science that told you so; but that does not affect the validity either of the science or the religion’. The true meaning of evolution is surely this – the world moves on to ever greater manifestations of its capacity</w:t>
      </w:r>
      <w:r w:rsidR="00D729E1">
        <w:t>; what remains in the future we do not know; but the greatest thing the world has yet produced is the spiritual being which we call Man; and while we know that Personality, as Man possesses it, must be inadequate to express the nature of the Supreme Principle, yet it is the most adequate term we have. We are agnostic in this – that we confess our inability to know the Supreme Being perfectly; but still we know that He is more adequately conceived as a Person than as a mere sum of blind laws of Nature” (p. xxx).</w:t>
      </w:r>
    </w:p>
    <w:p w:rsidR="00710252" w:rsidRDefault="00B4007D" w:rsidP="00460AAD">
      <w:r>
        <w:t>To those who objected that this was interpreting the spiritual through the material, Temple replied that this was in fact orthodox theology. It was in fact the doctrine of the Incarnation.  The divine spirit operated through nature and humanity: “it only operates perfectly through the One Man who is its perfect embodiment”.   Indeed Temple saw Christianity as the only religion that did justice to the physical, whereas other spiritual interpretations treated physical life as illusory or negligible.  But Christ was the great healer of bodies and his central doctrine was the word made flesh, or the Incarnation.</w:t>
      </w:r>
    </w:p>
    <w:p w:rsidR="00B4007D" w:rsidRDefault="00B4007D" w:rsidP="00460AAD">
      <w:r>
        <w:t>Finally, Temple empathised with those who felt depressed, perplexed or hopeless in the face of the world, its evils</w:t>
      </w:r>
      <w:r w:rsidR="007C750B">
        <w:t xml:space="preserve">, sufferings and apparent pointlessness. Not only was this felt by agnostics, atheists and poets, but also by many Christians. He himself admitted to such feelings of despair, as had prophets and saints. </w:t>
      </w:r>
      <w:r w:rsidR="00C3583C">
        <w:t>However</w:t>
      </w:r>
      <w:r w:rsidR="007C750B">
        <w:t xml:space="preserve"> through suffering, he believed or </w:t>
      </w:r>
      <w:proofErr w:type="gramStart"/>
      <w:r w:rsidR="007C750B">
        <w:t>hoped,</w:t>
      </w:r>
      <w:proofErr w:type="gramEnd"/>
      <w:r w:rsidR="007C750B">
        <w:t xml:space="preserve"> came ultimate truth: “But still we believe – though often with doubt and trembling – that the secret of the universe is made known to us in Christ” (p.</w:t>
      </w:r>
      <w:r w:rsidR="00C3583C">
        <w:t xml:space="preserve"> </w:t>
      </w:r>
      <w:r w:rsidR="007C750B">
        <w:t xml:space="preserve">xxxii). </w:t>
      </w:r>
    </w:p>
    <w:p w:rsidR="00E57C74" w:rsidRDefault="00E1410C" w:rsidP="00460AAD">
      <w:r>
        <w:t xml:space="preserve"> </w:t>
      </w:r>
    </w:p>
    <w:p w:rsidR="00226248" w:rsidRDefault="00226248" w:rsidP="00460AAD"/>
    <w:p w:rsidR="00DC06E7" w:rsidRPr="00460AAD" w:rsidRDefault="00DA79E7" w:rsidP="00460AAD">
      <w:r>
        <w:t xml:space="preserve"> </w:t>
      </w:r>
    </w:p>
    <w:sectPr w:rsidR="00DC06E7" w:rsidRPr="00460AAD">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5EBE" w:rsidRDefault="00E15EBE" w:rsidP="00460AAD">
      <w:pPr>
        <w:spacing w:after="0" w:line="240" w:lineRule="auto"/>
      </w:pPr>
      <w:r>
        <w:separator/>
      </w:r>
    </w:p>
  </w:endnote>
  <w:endnote w:type="continuationSeparator" w:id="0">
    <w:p w:rsidR="00E15EBE" w:rsidRDefault="00E15EBE" w:rsidP="00460A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9E1" w:rsidRDefault="00D729E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9765655"/>
      <w:docPartObj>
        <w:docPartGallery w:val="Page Numbers (Bottom of Page)"/>
        <w:docPartUnique/>
      </w:docPartObj>
    </w:sdtPr>
    <w:sdtEndPr>
      <w:rPr>
        <w:noProof/>
      </w:rPr>
    </w:sdtEndPr>
    <w:sdtContent>
      <w:p w:rsidR="00D729E1" w:rsidRDefault="00D729E1">
        <w:pPr>
          <w:pStyle w:val="Footer"/>
          <w:jc w:val="center"/>
        </w:pPr>
        <w:r>
          <w:fldChar w:fldCharType="begin"/>
        </w:r>
        <w:r>
          <w:instrText xml:space="preserve"> PAGE   \* MERGEFORMAT </w:instrText>
        </w:r>
        <w:r>
          <w:fldChar w:fldCharType="separate"/>
        </w:r>
        <w:r w:rsidR="00466C2C">
          <w:rPr>
            <w:noProof/>
          </w:rPr>
          <w:t>2</w:t>
        </w:r>
        <w:r>
          <w:rPr>
            <w:noProof/>
          </w:rPr>
          <w:fldChar w:fldCharType="end"/>
        </w:r>
      </w:p>
    </w:sdtContent>
  </w:sdt>
  <w:p w:rsidR="00D729E1" w:rsidRDefault="00D729E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9E1" w:rsidRDefault="00D729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5EBE" w:rsidRDefault="00E15EBE" w:rsidP="00460AAD">
      <w:pPr>
        <w:spacing w:after="0" w:line="240" w:lineRule="auto"/>
      </w:pPr>
      <w:r>
        <w:separator/>
      </w:r>
    </w:p>
  </w:footnote>
  <w:footnote w:type="continuationSeparator" w:id="0">
    <w:p w:rsidR="00E15EBE" w:rsidRDefault="00E15EBE" w:rsidP="00460AAD">
      <w:pPr>
        <w:spacing w:after="0" w:line="240" w:lineRule="auto"/>
      </w:pPr>
      <w:r>
        <w:continuationSeparator/>
      </w:r>
    </w:p>
  </w:footnote>
  <w:footnote w:id="1">
    <w:p w:rsidR="00951DCE" w:rsidRDefault="00951DCE">
      <w:pPr>
        <w:pStyle w:val="FootnoteText"/>
      </w:pPr>
      <w:r>
        <w:rPr>
          <w:rStyle w:val="FootnoteReference"/>
        </w:rPr>
        <w:footnoteRef/>
      </w:r>
      <w:r>
        <w:t xml:space="preserve"> According to </w:t>
      </w:r>
      <w:r w:rsidR="00466C2C">
        <w:t xml:space="preserve">Adrian </w:t>
      </w:r>
      <w:r>
        <w:t>Hastings, Temple was the first to use the term “welfare state” in print, in 1941.</w:t>
      </w:r>
    </w:p>
  </w:footnote>
  <w:footnote w:id="2">
    <w:p w:rsidR="003D2E58" w:rsidRDefault="003D2E58">
      <w:pPr>
        <w:pStyle w:val="FootnoteText"/>
      </w:pPr>
      <w:r>
        <w:rPr>
          <w:rStyle w:val="FootnoteReference"/>
        </w:rPr>
        <w:footnoteRef/>
      </w:r>
      <w:r>
        <w:t xml:space="preserve"> He was the first Anglican Primate to be cremated and this seems to have had a considerable impact upon public opinion, with cremation thereafter becoming more common and acceptable.</w:t>
      </w:r>
    </w:p>
  </w:footnote>
  <w:footnote w:id="3">
    <w:p w:rsidR="00CC2815" w:rsidRPr="00CC2815" w:rsidRDefault="00CC2815">
      <w:pPr>
        <w:pStyle w:val="FootnoteText"/>
      </w:pPr>
      <w:r>
        <w:rPr>
          <w:rStyle w:val="FootnoteReference"/>
        </w:rPr>
        <w:footnoteRef/>
      </w:r>
      <w:r>
        <w:t xml:space="preserve"> Biographical information is based on </w:t>
      </w:r>
      <w:r>
        <w:rPr>
          <w:i/>
        </w:rPr>
        <w:t>Oxford DNB</w:t>
      </w:r>
      <w:r>
        <w:t xml:space="preserve"> (by Adrian Hastings); F. A. Iremonger, </w:t>
      </w:r>
      <w:r>
        <w:rPr>
          <w:i/>
        </w:rPr>
        <w:t>William Temple, Archbishop of Canterbury: His Life and Letters</w:t>
      </w:r>
      <w:r>
        <w:t xml:space="preserve"> (Oxford University Press, 1948); and James E. Kiefer, “</w:t>
      </w:r>
      <w:r w:rsidRPr="00CC2815">
        <w:t>William Temple, Theologian, Archbishop of Canterbury</w:t>
      </w:r>
      <w:r>
        <w:t xml:space="preserve">” in online </w:t>
      </w:r>
      <w:r>
        <w:rPr>
          <w:i/>
        </w:rPr>
        <w:t>Biographical Sketches</w:t>
      </w:r>
      <w:r>
        <w:t xml:space="preserve"> (</w:t>
      </w:r>
      <w:proofErr w:type="spellStart"/>
      <w:r>
        <w:t>nd</w:t>
      </w:r>
      <w:proofErr w:type="spellEnd"/>
      <w:r>
        <w:t xml:space="preserve">). Kiefer notes that Ronald Knox described him in a satirical poem as “A man so broad, to some he seemed to be/ Not one, but all Mankind in Effigy”; while Bernard </w:t>
      </w:r>
      <w:r w:rsidR="008572CD">
        <w:t xml:space="preserve">Shaw called him “a realized impossibility”. </w:t>
      </w:r>
      <w:r>
        <w:t xml:space="preserve"> </w:t>
      </w:r>
      <w:r>
        <w:rPr>
          <w:i/>
        </w:rPr>
        <w:t xml:space="preserve"> </w:t>
      </w:r>
      <w:r w:rsidRPr="00CC2815">
        <w:t xml:space="preserve"> </w:t>
      </w:r>
    </w:p>
  </w:footnote>
  <w:footnote w:id="4">
    <w:p w:rsidR="00460AAD" w:rsidRPr="00460AAD" w:rsidRDefault="00460AAD">
      <w:pPr>
        <w:pStyle w:val="FootnoteText"/>
      </w:pPr>
      <w:r>
        <w:rPr>
          <w:rStyle w:val="FootnoteReference"/>
        </w:rPr>
        <w:footnoteRef/>
      </w:r>
      <w:r>
        <w:t xml:space="preserve"> William Temple, </w:t>
      </w:r>
      <w:proofErr w:type="gramStart"/>
      <w:r>
        <w:rPr>
          <w:i/>
        </w:rPr>
        <w:t>The</w:t>
      </w:r>
      <w:proofErr w:type="gramEnd"/>
      <w:r>
        <w:rPr>
          <w:i/>
        </w:rPr>
        <w:t xml:space="preserve"> </w:t>
      </w:r>
      <w:r w:rsidR="00CC2815">
        <w:rPr>
          <w:i/>
        </w:rPr>
        <w:t>N</w:t>
      </w:r>
      <w:r>
        <w:rPr>
          <w:i/>
        </w:rPr>
        <w:t>ature of Personality: A Course of Lectures</w:t>
      </w:r>
      <w:r>
        <w:t xml:space="preserve"> (London, Macmillan, 1915). Following references in the text</w:t>
      </w:r>
      <w:bookmarkStart w:id="0" w:name="_GoBack"/>
      <w:bookmarkEnd w:id="0"/>
      <w:r>
        <w:t xml:space="preserve"> are from this source.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9E1" w:rsidRDefault="00D729E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9E1" w:rsidRDefault="00D729E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9E1" w:rsidRDefault="00D729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0DD"/>
    <w:rsid w:val="000838CE"/>
    <w:rsid w:val="00113E22"/>
    <w:rsid w:val="001F0AFF"/>
    <w:rsid w:val="001F0D70"/>
    <w:rsid w:val="00226248"/>
    <w:rsid w:val="002506F2"/>
    <w:rsid w:val="002531CE"/>
    <w:rsid w:val="00353CE4"/>
    <w:rsid w:val="003D2E58"/>
    <w:rsid w:val="003E05C0"/>
    <w:rsid w:val="00460AAD"/>
    <w:rsid w:val="00466C2C"/>
    <w:rsid w:val="00490EA3"/>
    <w:rsid w:val="00524F93"/>
    <w:rsid w:val="00637F04"/>
    <w:rsid w:val="00710252"/>
    <w:rsid w:val="00780B6E"/>
    <w:rsid w:val="007A0F4E"/>
    <w:rsid w:val="007C750B"/>
    <w:rsid w:val="007E6012"/>
    <w:rsid w:val="00821CAE"/>
    <w:rsid w:val="008572CD"/>
    <w:rsid w:val="008732EB"/>
    <w:rsid w:val="00900578"/>
    <w:rsid w:val="009043B1"/>
    <w:rsid w:val="00933056"/>
    <w:rsid w:val="0094102C"/>
    <w:rsid w:val="00951DCE"/>
    <w:rsid w:val="009A3FFC"/>
    <w:rsid w:val="00A06768"/>
    <w:rsid w:val="00A20FCA"/>
    <w:rsid w:val="00A41194"/>
    <w:rsid w:val="00B4007D"/>
    <w:rsid w:val="00B90DDB"/>
    <w:rsid w:val="00C3583C"/>
    <w:rsid w:val="00C94335"/>
    <w:rsid w:val="00CC2815"/>
    <w:rsid w:val="00CC3579"/>
    <w:rsid w:val="00CE6615"/>
    <w:rsid w:val="00D130DD"/>
    <w:rsid w:val="00D5077E"/>
    <w:rsid w:val="00D55131"/>
    <w:rsid w:val="00D729E1"/>
    <w:rsid w:val="00DA11C8"/>
    <w:rsid w:val="00DA79E7"/>
    <w:rsid w:val="00DC06E7"/>
    <w:rsid w:val="00DC0ED4"/>
    <w:rsid w:val="00DD3DA0"/>
    <w:rsid w:val="00DF4EA6"/>
    <w:rsid w:val="00E1410C"/>
    <w:rsid w:val="00E15EBE"/>
    <w:rsid w:val="00E57C74"/>
    <w:rsid w:val="00E86AEE"/>
    <w:rsid w:val="00EA4FE7"/>
    <w:rsid w:val="00EF21CB"/>
    <w:rsid w:val="00F2526C"/>
    <w:rsid w:val="00F2726E"/>
    <w:rsid w:val="00FE00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60A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60AAD"/>
    <w:rPr>
      <w:sz w:val="20"/>
      <w:szCs w:val="20"/>
    </w:rPr>
  </w:style>
  <w:style w:type="character" w:styleId="FootnoteReference">
    <w:name w:val="footnote reference"/>
    <w:basedOn w:val="DefaultParagraphFont"/>
    <w:uiPriority w:val="99"/>
    <w:semiHidden/>
    <w:unhideWhenUsed/>
    <w:rsid w:val="00460AAD"/>
    <w:rPr>
      <w:vertAlign w:val="superscript"/>
    </w:rPr>
  </w:style>
  <w:style w:type="paragraph" w:styleId="Header">
    <w:name w:val="header"/>
    <w:basedOn w:val="Normal"/>
    <w:link w:val="HeaderChar"/>
    <w:uiPriority w:val="99"/>
    <w:unhideWhenUsed/>
    <w:rsid w:val="00D729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29E1"/>
  </w:style>
  <w:style w:type="paragraph" w:styleId="Footer">
    <w:name w:val="footer"/>
    <w:basedOn w:val="Normal"/>
    <w:link w:val="FooterChar"/>
    <w:uiPriority w:val="99"/>
    <w:unhideWhenUsed/>
    <w:rsid w:val="00D729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29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60A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60AAD"/>
    <w:rPr>
      <w:sz w:val="20"/>
      <w:szCs w:val="20"/>
    </w:rPr>
  </w:style>
  <w:style w:type="character" w:styleId="FootnoteReference">
    <w:name w:val="footnote reference"/>
    <w:basedOn w:val="DefaultParagraphFont"/>
    <w:uiPriority w:val="99"/>
    <w:semiHidden/>
    <w:unhideWhenUsed/>
    <w:rsid w:val="00460AAD"/>
    <w:rPr>
      <w:vertAlign w:val="superscript"/>
    </w:rPr>
  </w:style>
  <w:style w:type="paragraph" w:styleId="Header">
    <w:name w:val="header"/>
    <w:basedOn w:val="Normal"/>
    <w:link w:val="HeaderChar"/>
    <w:uiPriority w:val="99"/>
    <w:unhideWhenUsed/>
    <w:rsid w:val="00D729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29E1"/>
  </w:style>
  <w:style w:type="paragraph" w:styleId="Footer">
    <w:name w:val="footer"/>
    <w:basedOn w:val="Normal"/>
    <w:link w:val="FooterChar"/>
    <w:uiPriority w:val="99"/>
    <w:unhideWhenUsed/>
    <w:rsid w:val="00D729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29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16B8D8-E0F5-4C63-B4A5-A290E0D97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4</Pages>
  <Words>1904</Words>
  <Characters>10855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25</cp:revision>
  <cp:lastPrinted>2016-09-28T23:50:00Z</cp:lastPrinted>
  <dcterms:created xsi:type="dcterms:W3CDTF">2016-09-27T23:38:00Z</dcterms:created>
  <dcterms:modified xsi:type="dcterms:W3CDTF">2016-10-09T22:52:00Z</dcterms:modified>
</cp:coreProperties>
</file>