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1B8F" w:rsidRDefault="006835AB" w:rsidP="000A7C01">
      <w:pPr>
        <w:jc w:val="center"/>
        <w:rPr>
          <w:b/>
        </w:rPr>
      </w:pPr>
      <w:bookmarkStart w:id="0" w:name="_GoBack"/>
      <w:bookmarkEnd w:id="0"/>
      <w:r w:rsidRPr="000A7C01">
        <w:rPr>
          <w:b/>
        </w:rPr>
        <w:t>T. S. Eliot</w:t>
      </w:r>
    </w:p>
    <w:p w:rsidR="000A7C01" w:rsidRDefault="000A7C01" w:rsidP="000A7C01">
      <w:r>
        <w:rPr>
          <w:i/>
        </w:rPr>
        <w:t>After Strange Gods</w:t>
      </w:r>
      <w:r>
        <w:t xml:space="preserve"> (1934)</w:t>
      </w:r>
    </w:p>
    <w:p w:rsidR="00165723" w:rsidRDefault="000A7C01" w:rsidP="000A7C01">
      <w:r>
        <w:t xml:space="preserve">T. S. Eliot </w:t>
      </w:r>
      <w:r w:rsidR="00C371F5">
        <w:t xml:space="preserve">(1888-1965) </w:t>
      </w:r>
      <w:r>
        <w:t>saw himself as living in an age of moral decline. Like others around at the time</w:t>
      </w:r>
      <w:r w:rsidR="001023DE">
        <w:t>,</w:t>
      </w:r>
      <w:r>
        <w:t xml:space="preserve"> he campaigned for a re-Christianisation of society.  If people like R. H. Tawney represented the left in this campaign, Eliot’s position was essentially conservative.</w:t>
      </w:r>
      <w:r w:rsidR="00165723">
        <w:t xml:space="preserve"> He stood for tradition, but not uncritically. Just sticking in the past was a fatal error. Tradition needed to be refashioned to meet modern needs, but its essentials and core values needed to be conserved.</w:t>
      </w:r>
    </w:p>
    <w:p w:rsidR="005C3201" w:rsidRDefault="00165723" w:rsidP="000A7C01">
      <w:r>
        <w:t xml:space="preserve">He put some of these views in his literary criticism, in works such as </w:t>
      </w:r>
      <w:r>
        <w:rPr>
          <w:i/>
        </w:rPr>
        <w:t>After Strange Gods</w:t>
      </w:r>
      <w:r>
        <w:t xml:space="preserve"> (1934), written, of course, at a fraught time for western culture with the rise of Fascist and Communist totalitarianism, rampant materialism and the obvious decline of religion. The book put into print a series of lectures that he had given</w:t>
      </w:r>
      <w:r w:rsidR="00090B22">
        <w:t xml:space="preserve"> in Virginia</w:t>
      </w:r>
      <w:r>
        <w:t xml:space="preserve"> </w:t>
      </w:r>
      <w:r w:rsidR="00090B22">
        <w:t>about</w:t>
      </w:r>
      <w:r>
        <w:t xml:space="preserve"> writers such as D. H. Lawrence, </w:t>
      </w:r>
      <w:r w:rsidR="005C3201">
        <w:t>Ezra</w:t>
      </w:r>
      <w:r>
        <w:t xml:space="preserve"> Pound, W. B. Yeats</w:t>
      </w:r>
      <w:r w:rsidR="001023DE">
        <w:t xml:space="preserve"> </w:t>
      </w:r>
      <w:r w:rsidR="005C3201">
        <w:t>and James Joyce</w:t>
      </w:r>
      <w:r w:rsidR="00216D16">
        <w:t>.</w:t>
      </w:r>
      <w:r w:rsidR="005C3201">
        <w:t xml:space="preserve">  Eliot was rebelling against the amoralism of movements such as modernism, movements that he saw as repudiating communal values in favour of conceited or degenerate individualism.</w:t>
      </w:r>
      <w:r w:rsidR="000D1A45">
        <w:t xml:space="preserve"> The decay of mainstream Christianity – much of which could be sheeted home to schismatic Protestantism – had resulted in an amoral Anglo-Saxon literature. Amongst writers, Eliot commented, “the rejection of Christianity –Protestant Christianity – is the rule rather than the exception”.</w:t>
      </w:r>
      <w:r w:rsidR="000D1A45">
        <w:rPr>
          <w:rStyle w:val="FootnoteReference"/>
        </w:rPr>
        <w:footnoteReference w:id="1"/>
      </w:r>
      <w:r w:rsidR="000D1A45">
        <w:t xml:space="preserve"> </w:t>
      </w:r>
    </w:p>
    <w:p w:rsidR="00B97DCB" w:rsidRDefault="005C3201" w:rsidP="000A7C01">
      <w:r>
        <w:t xml:space="preserve">He openly acknowledged his intellectual debt to his former teacher at Harvard Irving Babbitt, founder of “New Humanism”, an anti-romantic in the Burkean mould politically. But it was far from an uncritical admiration on Eliot’s part. Babbitt, he felt, had moved too far from core Christian values. </w:t>
      </w:r>
      <w:r w:rsidR="00090B22">
        <w:t xml:space="preserve"> Babbitt had taught his Harvard students about French culture. He was “saturated” in it and was “thoroughly cosmopolitan” in thought and dialogue. Eliot approved, as </w:t>
      </w:r>
      <w:r w:rsidR="001023DE">
        <w:t xml:space="preserve">he approved </w:t>
      </w:r>
      <w:r w:rsidR="00090B22">
        <w:t>also</w:t>
      </w:r>
      <w:r w:rsidR="001023DE">
        <w:t xml:space="preserve"> of</w:t>
      </w:r>
      <w:r w:rsidR="00090B22">
        <w:t xml:space="preserve"> Babbitt’s belief in tradition: “He believed in tradition; for many years he stood almost alone in maintaining against the strong tendency of the time a right theory of education, and such effects of decadence as are manifest in [D. H.] Lawrence’s work he held in abomination”.  And yet, to Eliot’s mind, the very width of </w:t>
      </w:r>
      <w:r w:rsidR="001023DE">
        <w:t xml:space="preserve">Babbitt’s </w:t>
      </w:r>
      <w:r w:rsidR="00090B22">
        <w:t>culture,</w:t>
      </w:r>
      <w:r w:rsidR="001023DE">
        <w:t xml:space="preserve"> and “</w:t>
      </w:r>
      <w:r w:rsidR="00090B22">
        <w:t xml:space="preserve">his intelligent eclecticism, are themselves symptoms of a narrowness of tradition, in their extreme reaction of that narrowness”. (Rather like G. K. Chesterton, Eliot was fond of paradox. This made his criticism </w:t>
      </w:r>
      <w:r w:rsidR="00452651">
        <w:t>difficult</w:t>
      </w:r>
      <w:r w:rsidR="00090B22">
        <w:t xml:space="preserve"> for readers). </w:t>
      </w:r>
      <w:r w:rsidR="00452651">
        <w:t xml:space="preserve">Eliot continued: “His attitude towards Christianity seems to me that of a man who had had no </w:t>
      </w:r>
      <w:r w:rsidR="00452651">
        <w:rPr>
          <w:i/>
        </w:rPr>
        <w:t>emotional</w:t>
      </w:r>
      <w:r w:rsidR="00452651">
        <w:t xml:space="preserve"> acquaintance with any but some debased and uncultured form” (p.39).</w:t>
      </w:r>
    </w:p>
    <w:p w:rsidR="004C0DCB" w:rsidRDefault="00B97DCB" w:rsidP="000A7C01">
      <w:r>
        <w:t>In discussing writers such as Babbitt and Ezra Pound, T. S. Eliot ventured to generalise that with the disappearance of the idea of original sin and of the idea of intense moral struggle, the people</w:t>
      </w:r>
      <w:r w:rsidR="00FA6AFF">
        <w:t xml:space="preserve"> being portrayed at</w:t>
      </w:r>
      <w:r>
        <w:t xml:space="preserve"> the time in both poetry and prose – and especially by the more serious writers – tended to become less and less real. Why was this? Because “it is in fact in moments of moral and spiritual struggle depending upon spiritual sanctions, rather than in those ‘bewildering minutes’ in which we are all very much alike, that men and women come nearest to being real. If you do away with this struggle, and maintain that by tolerance, benevolence, inoffensiveness and a re-distribution or increase of spending power, combined with a devotion, on the part of an elite, to Art, the world will </w:t>
      </w:r>
      <w:r>
        <w:lastRenderedPageBreak/>
        <w:t>be as good as anyone could require, then you must expect human beings to become more and more vaporous</w:t>
      </w:r>
      <w:r w:rsidR="004C0DCB">
        <w:t>” (p.42).</w:t>
      </w:r>
    </w:p>
    <w:p w:rsidR="004C0DCB" w:rsidRDefault="004C0DCB" w:rsidP="000A7C01">
      <w:r>
        <w:t xml:space="preserve">To illustrate this, tongue in </w:t>
      </w:r>
      <w:r w:rsidR="00C31351">
        <w:t>c</w:t>
      </w:r>
      <w:r>
        <w:t xml:space="preserve">heek, Eliot professed to find the archetype of this sort of society in Pound’s great work, his </w:t>
      </w:r>
      <w:r>
        <w:rPr>
          <w:i/>
        </w:rPr>
        <w:t>Cantos</w:t>
      </w:r>
      <w:r>
        <w:t>:</w:t>
      </w:r>
    </w:p>
    <w:p w:rsidR="00FA6AFF" w:rsidRDefault="004C0DCB" w:rsidP="000A7C01">
      <w:r>
        <w:t xml:space="preserve">“It consists ( I may have overlooked one or two species) of politicians, profiteers, financiers, newspaper proprietors and their hired men, </w:t>
      </w:r>
      <w:r>
        <w:rPr>
          <w:i/>
        </w:rPr>
        <w:t>agents provocateurs</w:t>
      </w:r>
      <w:r>
        <w:t>, Calvin, St. Clement of Alexandria, the English, vice-crusaders, liars, the stupid, pedants, preachers…bishops, lady golfers, Fabians, conservatives and imperialist</w:t>
      </w:r>
      <w:r w:rsidR="00AF4AEB">
        <w:t>s</w:t>
      </w:r>
      <w:r>
        <w:t>; and all ‘those who have set money-lust before the pleasures of the senses’</w:t>
      </w:r>
      <w:r w:rsidR="00FA6AFF">
        <w:t>”</w:t>
      </w:r>
      <w:r>
        <w:t>.</w:t>
      </w:r>
    </w:p>
    <w:p w:rsidR="00AD50E1" w:rsidRDefault="00C31351" w:rsidP="000A7C01">
      <w:r>
        <w:t>It was a Hell without tragedy, without dignity, in some ways admirable or comfortable. Eliot discerned three principles behind the apparent confusion of types. They could be broken down into “(1) the aesthetic, (2) the humanitarian, (3) the Protestant”.  If this Hell was affined to modern complacency, it had an essential fallibility: “ If you do not distinguish between individual responsibility and circumstances in Hell, between essential Evil and social accidents, then the Heaven (if any) implied will be equally trivial and accidental” (p.43).</w:t>
      </w:r>
    </w:p>
    <w:p w:rsidR="000A7C01" w:rsidRDefault="00AD50E1" w:rsidP="000A7C01">
      <w:r>
        <w:t xml:space="preserve">Eliot discusses another common feature of his age – one commented on by Chesterton, Tawney and others: the tendency to seek out, or to manufacture, “alternative” or </w:t>
      </w:r>
      <w:r>
        <w:rPr>
          <w:i/>
        </w:rPr>
        <w:t>ersatz</w:t>
      </w:r>
      <w:r>
        <w:t xml:space="preserve"> religions to replace traditional ones. Eliot noted this key tendency in the work of W. B. Yeats. The problem arose, Eliot thought, out of Yeats’s situation as an expatriate from Ireland, born of Irish Protestant stock but brought up in London. For him Ireland was rather a holiday home, which he romanticised and sentimentalised, turning it into a source of </w:t>
      </w:r>
      <w:r w:rsidR="00906A4B">
        <w:t>constructed</w:t>
      </w:r>
      <w:r>
        <w:t xml:space="preserve"> my</w:t>
      </w:r>
      <w:r w:rsidR="00625BFD">
        <w:t>ths</w:t>
      </w:r>
      <w:r>
        <w:t xml:space="preserve">. As Yeats himself reminisced in his </w:t>
      </w:r>
      <w:r w:rsidRPr="00AD50E1">
        <w:rPr>
          <w:i/>
        </w:rPr>
        <w:t>Autobiographies</w:t>
      </w:r>
      <w:r w:rsidR="00625BFD">
        <w:t xml:space="preserve">: </w:t>
      </w:r>
    </w:p>
    <w:p w:rsidR="00906A4B" w:rsidRDefault="00625BFD" w:rsidP="000A7C01">
      <w:r>
        <w:t>“I was unlike others of my generation in one thing only. I am very religious, and deprived by [T.H.]</w:t>
      </w:r>
      <w:r w:rsidR="00906A4B">
        <w:t xml:space="preserve"> </w:t>
      </w:r>
      <w:r>
        <w:t xml:space="preserve">Huxley and </w:t>
      </w:r>
      <w:r w:rsidR="00906A4B">
        <w:t>[John</w:t>
      </w:r>
      <w:r w:rsidR="00240B9C">
        <w:t>] Tyndall</w:t>
      </w:r>
      <w:r>
        <w:t>, whom I detested, of the simple-minded religion of my childhood, I had made a new religion, almost an infallible church of poetic tradition, of a fardel</w:t>
      </w:r>
      <w:r w:rsidR="009375B0">
        <w:t xml:space="preserve"> [bundle]</w:t>
      </w:r>
      <w:r>
        <w:t xml:space="preserve"> of stories, and of personages, and of emotions, inseparable from their first expression, passed on from generation to generation by poets and painters with some help from philosophers and theologians”.</w:t>
      </w:r>
    </w:p>
    <w:p w:rsidR="00625BFD" w:rsidRDefault="00906A4B" w:rsidP="000A7C01">
      <w:r>
        <w:t xml:space="preserve">Eliot pictures Yeats: “The rationalistic background, the Pre-Raphaelite imagery, the interest in the occult, the equally early interest in Irish nationalism, the association with minor poets in London and Paris, make a curious mixture. Mr. Yeats was in search of a tradition, a little too consciously </w:t>
      </w:r>
      <w:r w:rsidR="00240B9C">
        <w:t>perhaps -</w:t>
      </w:r>
      <w:r>
        <w:t xml:space="preserve"> like all of us. He sought for it in the conception of Ireland as an autonomous political and social unity, purged from the Anglo-Saxon pollution”.   What was the result? At least for a long time</w:t>
      </w:r>
      <w:r w:rsidR="001908ED">
        <w:t xml:space="preserve">, </w:t>
      </w:r>
      <w:r>
        <w:t>“a somewhat artificially induced poeticality…</w:t>
      </w:r>
      <w:r w:rsidR="007F17DF">
        <w:t xml:space="preserve"> much of Mr. Yeats’s verse is stimulated by folklore, occultism, mythology and symbolism, crystal-gazing and hermetic writings”</w:t>
      </w:r>
      <w:r w:rsidR="001908ED">
        <w:t>,</w:t>
      </w:r>
      <w:r w:rsidR="007F17DF">
        <w:t xml:space="preserve"> beautiful but artificial and deliberately evoking a trance-like indifference to reality. This was to become </w:t>
      </w:r>
      <w:r w:rsidR="00FA6AFF">
        <w:t>repudiation</w:t>
      </w:r>
      <w:r w:rsidR="007F17DF">
        <w:t>, not merely of current civilisation, but of life itself, in favour of a supernatural world, “a world of symbolic phantasmagoria”. Eliot added: “It was not a world of spiritual significance, not a world of real Good and Evil, of holiness or sin, but a highly sophisticated lower mythology summoned, like a physician, to supply the fading pulse of poetry with some transient stimulant so that the dying patient may utter his last words” (pp.45-46). It was, Eliot</w:t>
      </w:r>
      <w:r w:rsidR="001908ED">
        <w:t xml:space="preserve"> flatly declared,</w:t>
      </w:r>
      <w:r w:rsidR="007F17DF">
        <w:t xml:space="preserve"> simply the wrong supernatural world. </w:t>
      </w:r>
    </w:p>
    <w:p w:rsidR="00323876" w:rsidRDefault="00323876" w:rsidP="000A7C01">
      <w:r>
        <w:lastRenderedPageBreak/>
        <w:t xml:space="preserve">Eliot turns to D. H. Lawrence. Our first reaction may well be “wow: this is not the usual view of Lawrence”. The author of </w:t>
      </w:r>
      <w:r>
        <w:rPr>
          <w:i/>
        </w:rPr>
        <w:t>Lady Chatterley’s Lover</w:t>
      </w:r>
      <w:r>
        <w:t xml:space="preserve"> is described thus: “Lawrence lived all his life, I should imagine, on the spiritual level; no man was less a sensualist. Against the living death of modern material civilisation he spoke again and again, and even if these dead could speak, what he said is unanswerable”.  But it turns out that “The man’s vision is spiritual, but spiritually sick”. It seems that Lawrence’s early belief in Life “may have passed over, as serious belief in Life must, into a belief in Death”. </w:t>
      </w:r>
      <w:r w:rsidR="00B16DD1">
        <w:t xml:space="preserve">[This is of course, we may add, a variant on Freud’s </w:t>
      </w:r>
      <w:r w:rsidR="00B16DD1">
        <w:rPr>
          <w:i/>
        </w:rPr>
        <w:t>Thanatos</w:t>
      </w:r>
      <w:r w:rsidR="00B16DD1">
        <w:t>, or death wish].</w:t>
      </w:r>
      <w:r w:rsidR="00B4061F">
        <w:t xml:space="preserve"> However Eliot felt that there was still much to be learnt from Lawrence, especially from his critique of modern materialistic capitalism:</w:t>
      </w:r>
    </w:p>
    <w:p w:rsidR="00B4061F" w:rsidRDefault="00B4061F" w:rsidP="000A7C01">
      <w:r>
        <w:t>“That we can and ought to reconcile ourselves to Liberalism, Progress and Modern Civilisation is a proposition which we need not have waited for Lawrence to condemn; and it matters a good deal in what name we condemn it. I fear that Lawrence’s work may appeal not to those who are well and able to discriminate, but to the sick and debile and confused</w:t>
      </w:r>
      <w:r w:rsidR="00E31169">
        <w:t>; and will appeal not to</w:t>
      </w:r>
      <w:r>
        <w:t xml:space="preserve"> what remains of health in them, but to their sickness”. People would tend to invent their own “Lawrenc</w:t>
      </w:r>
      <w:r w:rsidR="00342CA4">
        <w:t>e</w:t>
      </w:r>
      <w:r>
        <w:t>an” doctrines [some, we know, turned them into Fascist doctrines, and indeed Lawrence had his own inclinations in this direction].</w:t>
      </w:r>
    </w:p>
    <w:p w:rsidR="00E31169" w:rsidRDefault="00E31169" w:rsidP="000A7C01">
      <w:r>
        <w:t>Eliot then turned to a wider perspective on modern society: “The number of people in possession of any criteria for discriminating between good and evil is very small; the number of the half-alive hungry for any form of spiritual experience, or what offers itself as spiritual experience, high or low, good or bad, is considerable. My own generation has not served them very well. Never has the printing-press been so busy, and never have such varieties of buncombe and false doctrine come from it”.</w:t>
      </w:r>
    </w:p>
    <w:p w:rsidR="00FA5E4A" w:rsidRDefault="00E31169" w:rsidP="000A7C01">
      <w:r>
        <w:t xml:space="preserve">Eliot finished his </w:t>
      </w:r>
      <w:r w:rsidR="00EC4392">
        <w:t xml:space="preserve">Virginia </w:t>
      </w:r>
      <w:r>
        <w:t>lectures with a brief comment on writers. He and his fellow writers lived “in an age of unsettled beliefs and enfeebled tradition”. For the “man of letters, the poet, and the novelist</w:t>
      </w:r>
      <w:r w:rsidR="00342CA4">
        <w:t>”,</w:t>
      </w:r>
      <w:r>
        <w:t xml:space="preserve"> it was a situation dangerous for them</w:t>
      </w:r>
      <w:r w:rsidR="00EC4392">
        <w:t>s</w:t>
      </w:r>
      <w:r>
        <w:t>elves and their readers.</w:t>
      </w:r>
      <w:r w:rsidR="00EC4392">
        <w:t xml:space="preserve"> Was tradition the saviour? Eliot was very aware of people who sentimentally admired some real or imaginary past, “fakers” of tradition: “Tradition by itself is not enough: it must be perpetually criticised and brought up to date under the supervision of what I call orthodoxy … Most ‘defenders of tradition’ are mere conservatives, unable to distinguish between the permanent and the temporary, the essential and the accidental”. </w:t>
      </w:r>
    </w:p>
    <w:p w:rsidR="00E31169" w:rsidRPr="00EC4392" w:rsidRDefault="00EC4392" w:rsidP="000A7C01">
      <w:r>
        <w:t xml:space="preserve">In a final throw-away remark, Eliot attacked the cult of personality that had grown up about writers:  “The personality thus expressed, the personality which fascinates us in the work of philosophy or art, tends naturally to be the </w:t>
      </w:r>
      <w:r>
        <w:rPr>
          <w:i/>
        </w:rPr>
        <w:t>unregenerate</w:t>
      </w:r>
      <w:r>
        <w:t xml:space="preserve"> personality, partly self-deceived and partly irresponsible, and because of its freedom, terribly </w:t>
      </w:r>
      <w:r>
        <w:rPr>
          <w:i/>
        </w:rPr>
        <w:t>limited</w:t>
      </w:r>
      <w:r>
        <w:t xml:space="preserve"> by prejudice and self-conceit, capable of much good or great mischief according to the goodness or impurity of the person</w:t>
      </w:r>
      <w:r w:rsidR="00342CA4">
        <w:t xml:space="preserve">: and we are all, naturally, impure” (pp.60-630).  His humble suggestion in the face of such deep cultural problems was to try to maintain standards of ethics and criticism. T. S. Eliot, to his credit, tried endlessly to do so.  </w:t>
      </w:r>
    </w:p>
    <w:p w:rsidR="00B4061F" w:rsidRPr="00B16DD1" w:rsidRDefault="00B4061F" w:rsidP="000A7C01"/>
    <w:sectPr w:rsidR="00B4061F" w:rsidRPr="00B16DD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3835" w:rsidRDefault="00EB3835" w:rsidP="000D1A45">
      <w:pPr>
        <w:spacing w:after="0" w:line="240" w:lineRule="auto"/>
      </w:pPr>
      <w:r>
        <w:separator/>
      </w:r>
    </w:p>
  </w:endnote>
  <w:endnote w:type="continuationSeparator" w:id="0">
    <w:p w:rsidR="00EB3835" w:rsidRDefault="00EB3835" w:rsidP="000D1A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8ED" w:rsidRDefault="001908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5168078"/>
      <w:docPartObj>
        <w:docPartGallery w:val="Page Numbers (Bottom of Page)"/>
        <w:docPartUnique/>
      </w:docPartObj>
    </w:sdtPr>
    <w:sdtEndPr>
      <w:rPr>
        <w:noProof/>
      </w:rPr>
    </w:sdtEndPr>
    <w:sdtContent>
      <w:p w:rsidR="001908ED" w:rsidRDefault="001908ED">
        <w:pPr>
          <w:pStyle w:val="Footer"/>
          <w:jc w:val="center"/>
        </w:pPr>
        <w:r>
          <w:fldChar w:fldCharType="begin"/>
        </w:r>
        <w:r>
          <w:instrText xml:space="preserve"> PAGE   \* MERGEFORMAT </w:instrText>
        </w:r>
        <w:r>
          <w:fldChar w:fldCharType="separate"/>
        </w:r>
        <w:r w:rsidR="00EC164F">
          <w:rPr>
            <w:noProof/>
          </w:rPr>
          <w:t>1</w:t>
        </w:r>
        <w:r>
          <w:rPr>
            <w:noProof/>
          </w:rPr>
          <w:fldChar w:fldCharType="end"/>
        </w:r>
      </w:p>
    </w:sdtContent>
  </w:sdt>
  <w:p w:rsidR="001908ED" w:rsidRDefault="001908E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8ED" w:rsidRDefault="001908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3835" w:rsidRDefault="00EB3835" w:rsidP="000D1A45">
      <w:pPr>
        <w:spacing w:after="0" w:line="240" w:lineRule="auto"/>
      </w:pPr>
      <w:r>
        <w:separator/>
      </w:r>
    </w:p>
  </w:footnote>
  <w:footnote w:type="continuationSeparator" w:id="0">
    <w:p w:rsidR="00EB3835" w:rsidRDefault="00EB3835" w:rsidP="000D1A45">
      <w:pPr>
        <w:spacing w:after="0" w:line="240" w:lineRule="auto"/>
      </w:pPr>
      <w:r>
        <w:continuationSeparator/>
      </w:r>
    </w:p>
  </w:footnote>
  <w:footnote w:id="1">
    <w:p w:rsidR="000D1A45" w:rsidRPr="000D1A45" w:rsidRDefault="000D1A45">
      <w:pPr>
        <w:pStyle w:val="FootnoteText"/>
      </w:pPr>
      <w:r>
        <w:rPr>
          <w:rStyle w:val="FootnoteReference"/>
        </w:rPr>
        <w:footnoteRef/>
      </w:r>
      <w:r>
        <w:t xml:space="preserve"> T. S. Eliot, </w:t>
      </w:r>
      <w:r>
        <w:rPr>
          <w:i/>
        </w:rPr>
        <w:t>After Strange Gods: A Primer of Modern Heresy – The Page-Barbour Lectures at the University of Virginia</w:t>
      </w:r>
      <w:r>
        <w:t xml:space="preserve"> (London, Faber and Faber, 1934), p.38. References in the text are to this source.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8ED" w:rsidRDefault="001908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8ED" w:rsidRDefault="001908E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8ED" w:rsidRDefault="001908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5AB"/>
    <w:rsid w:val="00090B22"/>
    <w:rsid w:val="000A7C01"/>
    <w:rsid w:val="000D1A45"/>
    <w:rsid w:val="001023DE"/>
    <w:rsid w:val="00165723"/>
    <w:rsid w:val="001908ED"/>
    <w:rsid w:val="00216D16"/>
    <w:rsid w:val="00240B9C"/>
    <w:rsid w:val="00305815"/>
    <w:rsid w:val="003150CB"/>
    <w:rsid w:val="00323876"/>
    <w:rsid w:val="00342CA4"/>
    <w:rsid w:val="00356CCB"/>
    <w:rsid w:val="00452651"/>
    <w:rsid w:val="00480800"/>
    <w:rsid w:val="004C0DCB"/>
    <w:rsid w:val="005C3201"/>
    <w:rsid w:val="005F41C2"/>
    <w:rsid w:val="00617EBC"/>
    <w:rsid w:val="00625BFD"/>
    <w:rsid w:val="006835AB"/>
    <w:rsid w:val="007E4974"/>
    <w:rsid w:val="007F17DF"/>
    <w:rsid w:val="00906A4B"/>
    <w:rsid w:val="00926A19"/>
    <w:rsid w:val="009375B0"/>
    <w:rsid w:val="009C1B8F"/>
    <w:rsid w:val="00AD50E1"/>
    <w:rsid w:val="00AF4AEB"/>
    <w:rsid w:val="00AF4DEA"/>
    <w:rsid w:val="00B16DD1"/>
    <w:rsid w:val="00B4061F"/>
    <w:rsid w:val="00B46D9F"/>
    <w:rsid w:val="00B97DCB"/>
    <w:rsid w:val="00C31351"/>
    <w:rsid w:val="00C371F5"/>
    <w:rsid w:val="00E31169"/>
    <w:rsid w:val="00EB3835"/>
    <w:rsid w:val="00EC164F"/>
    <w:rsid w:val="00EC4392"/>
    <w:rsid w:val="00FA5E4A"/>
    <w:rsid w:val="00FA6AF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D1A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1A45"/>
    <w:rPr>
      <w:sz w:val="20"/>
      <w:szCs w:val="20"/>
    </w:rPr>
  </w:style>
  <w:style w:type="character" w:styleId="FootnoteReference">
    <w:name w:val="footnote reference"/>
    <w:basedOn w:val="DefaultParagraphFont"/>
    <w:uiPriority w:val="99"/>
    <w:semiHidden/>
    <w:unhideWhenUsed/>
    <w:rsid w:val="000D1A45"/>
    <w:rPr>
      <w:vertAlign w:val="superscript"/>
    </w:rPr>
  </w:style>
  <w:style w:type="paragraph" w:styleId="Header">
    <w:name w:val="header"/>
    <w:basedOn w:val="Normal"/>
    <w:link w:val="HeaderChar"/>
    <w:uiPriority w:val="99"/>
    <w:unhideWhenUsed/>
    <w:rsid w:val="001908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08ED"/>
  </w:style>
  <w:style w:type="paragraph" w:styleId="Footer">
    <w:name w:val="footer"/>
    <w:basedOn w:val="Normal"/>
    <w:link w:val="FooterChar"/>
    <w:uiPriority w:val="99"/>
    <w:unhideWhenUsed/>
    <w:rsid w:val="001908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08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D1A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1A45"/>
    <w:rPr>
      <w:sz w:val="20"/>
      <w:szCs w:val="20"/>
    </w:rPr>
  </w:style>
  <w:style w:type="character" w:styleId="FootnoteReference">
    <w:name w:val="footnote reference"/>
    <w:basedOn w:val="DefaultParagraphFont"/>
    <w:uiPriority w:val="99"/>
    <w:semiHidden/>
    <w:unhideWhenUsed/>
    <w:rsid w:val="000D1A45"/>
    <w:rPr>
      <w:vertAlign w:val="superscript"/>
    </w:rPr>
  </w:style>
  <w:style w:type="paragraph" w:styleId="Header">
    <w:name w:val="header"/>
    <w:basedOn w:val="Normal"/>
    <w:link w:val="HeaderChar"/>
    <w:uiPriority w:val="99"/>
    <w:unhideWhenUsed/>
    <w:rsid w:val="001908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08ED"/>
  </w:style>
  <w:style w:type="paragraph" w:styleId="Footer">
    <w:name w:val="footer"/>
    <w:basedOn w:val="Normal"/>
    <w:link w:val="FooterChar"/>
    <w:uiPriority w:val="99"/>
    <w:unhideWhenUsed/>
    <w:rsid w:val="001908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08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9133EF-20F2-434C-B329-76FB09789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TotalTime>
  <Pages>3</Pages>
  <Words>1555</Words>
  <Characters>8864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13</cp:revision>
  <dcterms:created xsi:type="dcterms:W3CDTF">2016-11-17T23:51:00Z</dcterms:created>
  <dcterms:modified xsi:type="dcterms:W3CDTF">2017-01-08T22:27:00Z</dcterms:modified>
</cp:coreProperties>
</file>