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269E" w:rsidRDefault="00A36E0A" w:rsidP="00E03170">
      <w:pPr>
        <w:jc w:val="center"/>
        <w:rPr>
          <w:b/>
        </w:rPr>
      </w:pPr>
      <w:r w:rsidRPr="00E03170">
        <w:rPr>
          <w:b/>
        </w:rPr>
        <w:t>Aldous Huxley</w:t>
      </w:r>
      <w:r w:rsidR="004C4E99">
        <w:rPr>
          <w:b/>
        </w:rPr>
        <w:t xml:space="preserve"> on Science, Mystics and Totalitarians</w:t>
      </w:r>
    </w:p>
    <w:p w:rsidR="00E03170" w:rsidRDefault="00E03170" w:rsidP="00E03170">
      <w:r>
        <w:t>Although Aldous Huxley was commonly regarded as a s</w:t>
      </w:r>
      <w:r w:rsidR="00A079B7">
        <w:t>atirical</w:t>
      </w:r>
      <w:r>
        <w:t>, cynical novelist, one of “the bright young things” of the interwar period, there was always a subterranean empathy towards religion, mysticism, transcendentalism – call it what you like – in his thought. This is splendidly brought out in R. S. Deese’s</w:t>
      </w:r>
      <w:r w:rsidR="00A079B7">
        <w:t xml:space="preserve"> </w:t>
      </w:r>
      <w:r>
        <w:t>study of Aldous and his celebrated biologist brother Julian</w:t>
      </w:r>
      <w:r w:rsidR="00D306A4">
        <w:t>,</w:t>
      </w:r>
      <w:r>
        <w:t xml:space="preserve"> </w:t>
      </w:r>
      <w:r>
        <w:rPr>
          <w:i/>
        </w:rPr>
        <w:t>We Are Amphibians</w:t>
      </w:r>
      <w:r>
        <w:t>. As Deese says, both men maintained that nothing in evolutionary biology was inherently hostile to the religious impulse in human beings: “For Julian, evolution was progress writ large, and could serve as an inspiration</w:t>
      </w:r>
      <w:r w:rsidR="00D306A4">
        <w:t xml:space="preserve"> for the future social and cultural progress of the entire human race. For Aldous, evolutionary biology confirmed a literal kinship between our own species and every other living thing on this planet….Julian and Aldous, like their grandfather [T. H. Huxley], continued to regard [science and religion] as sisters, if seen in the clearest light.  Even as they arrived at very different conclusions, Julian and Aldous Huxley each sought to articulate a worldview that was religious in its depth and power  and yet fully compatible with both the long-standing methods of scientific research and the most current discoveries of evolutionary biology.”</w:t>
      </w:r>
      <w:r w:rsidR="00D306A4">
        <w:rPr>
          <w:rStyle w:val="FootnoteReference"/>
        </w:rPr>
        <w:footnoteReference w:id="1"/>
      </w:r>
    </w:p>
    <w:p w:rsidR="00A079B7" w:rsidRPr="00E03170" w:rsidRDefault="00A079B7" w:rsidP="00E03170">
      <w:r>
        <w:t>However while biology was not necessarily opposed to religion, Aldous felt that modernity was. Modern capitalist society, in his view, was increasingly brainwashing people with its consumerism and blatant materialism. Popular culture valued the new and spurned traditional values</w:t>
      </w:r>
      <w:r w:rsidR="00F01F40">
        <w:t>. It had a large element of nihilism and contempt for intellectuals, scholars and the pious, for learning itself and “elitist” culture.</w:t>
      </w:r>
      <w:r w:rsidR="00110C4E">
        <w:rPr>
          <w:rStyle w:val="FootnoteReference"/>
        </w:rPr>
        <w:footnoteReference w:id="2"/>
      </w:r>
      <w:r w:rsidR="00F01F40">
        <w:t xml:space="preserve"> As Malcolm Muggeridge was always complaining, modern culture was dominated by the showy, the sham, </w:t>
      </w:r>
      <w:proofErr w:type="gramStart"/>
      <w:r w:rsidR="00F01F40">
        <w:t>the</w:t>
      </w:r>
      <w:proofErr w:type="gramEnd"/>
      <w:r w:rsidR="00F01F40">
        <w:t xml:space="preserve"> tawdry. Even religion in America had been </w:t>
      </w:r>
      <w:r w:rsidR="006974ED">
        <w:t xml:space="preserve">turned into show-business. Aldous’s classic satire </w:t>
      </w:r>
      <w:r w:rsidR="006974ED">
        <w:rPr>
          <w:i/>
        </w:rPr>
        <w:t>Brave New World</w:t>
      </w:r>
      <w:r w:rsidR="00CE69DE">
        <w:rPr>
          <w:i/>
        </w:rPr>
        <w:t xml:space="preserve"> </w:t>
      </w:r>
      <w:r w:rsidR="00CE69DE">
        <w:t>(1932)</w:t>
      </w:r>
      <w:r w:rsidR="006974ED">
        <w:t xml:space="preserve"> was an attack on such things. Values were no longer inherited from the past, but created by conditioning. This was a parable about the way the world was going. Values were being manipulated by the power brokers both in the capitalist West and in totalitarian states such as Nazi Germany and Soviet Russia.  </w:t>
      </w:r>
    </w:p>
    <w:p w:rsidR="00E03170" w:rsidRDefault="00CE69DE" w:rsidP="00CE69DE">
      <w:r w:rsidRPr="00CE69DE">
        <w:t>Right up to his death</w:t>
      </w:r>
      <w:r>
        <w:t xml:space="preserve"> in 1963 Aldous warned that the western democracies were trending in a totalitarian direction. Their victories over the Fascist states would only accelerate this trend, he predicted, as militarism took hold. </w:t>
      </w:r>
      <w:r w:rsidR="006D06A9">
        <w:t xml:space="preserve"> The Cold War and threat of nuclear war intensified the trend. Like Christopher Dawson, Aldous saw a suffocating conformity of values being imposed, even in supposedly liberal countries such as Britain. </w:t>
      </w:r>
    </w:p>
    <w:p w:rsidR="006D06A9" w:rsidRDefault="006D06A9" w:rsidP="00CE69DE">
      <w:r>
        <w:t>He was pro</w:t>
      </w:r>
      <w:r w:rsidR="000F1D46">
        <w:t>phesying along these lines in a work</w:t>
      </w:r>
      <w:r>
        <w:t xml:space="preserve"> entitled </w:t>
      </w:r>
      <w:r w:rsidRPr="000F1D46">
        <w:rPr>
          <w:i/>
        </w:rPr>
        <w:t>End</w:t>
      </w:r>
      <w:r w:rsidR="00F965F4">
        <w:rPr>
          <w:i/>
        </w:rPr>
        <w:t>s</w:t>
      </w:r>
      <w:r w:rsidRPr="000F1D46">
        <w:rPr>
          <w:i/>
        </w:rPr>
        <w:t xml:space="preserve"> and Means</w:t>
      </w:r>
      <w:r>
        <w:t xml:space="preserve"> in 1937. Let us have a brief look at it. He wrote:</w:t>
      </w:r>
      <w:r w:rsidR="000F1D46">
        <w:t xml:space="preserve">  </w:t>
      </w:r>
    </w:p>
    <w:p w:rsidR="000F1D46" w:rsidRDefault="006D06A9" w:rsidP="00CE69DE">
      <w:r>
        <w:t xml:space="preserve"> “Totalitarian politicians demand obedience and conformity in every sphere of life, including, of course, religion. Here, their aim is to use religion as an instrument of social consolidation, an increaser of the country’s military efficiency. For this reason, the only kind of religion they favour is strictly anthropocentric, exclusive and nationalistic. Theocentric religion, involving the worship of </w:t>
      </w:r>
      <w:r>
        <w:lastRenderedPageBreak/>
        <w:t>God for his own sake</w:t>
      </w:r>
      <w:r w:rsidR="00A07145">
        <w:t xml:space="preserve">, is inadmissible in a totalitarian state.” </w:t>
      </w:r>
      <w:r w:rsidR="00A07145">
        <w:rPr>
          <w:rStyle w:val="FootnoteReference"/>
        </w:rPr>
        <w:footnoteReference w:id="3"/>
      </w:r>
      <w:r w:rsidR="00A07145">
        <w:t xml:space="preserve"> One historical example was that of France in the age of Richelieu and Louis XIV, when a cult of state-worship and King-worship sparked an attack on theocentric religion and mysticism.</w:t>
      </w:r>
      <w:r w:rsidR="005F62E6">
        <w:t xml:space="preserve"> </w:t>
      </w:r>
      <w:r w:rsidR="00A07145">
        <w:t xml:space="preserve">Aldous was researching his forthcoming book </w:t>
      </w:r>
      <w:r w:rsidR="00A07145">
        <w:rPr>
          <w:i/>
        </w:rPr>
        <w:t>Grey Eminence</w:t>
      </w:r>
      <w:r w:rsidR="00A07145">
        <w:t xml:space="preserve"> on Father Joseph, who helped to implement Richelieu’s plan. In the book, which appeared in 1941, he</w:t>
      </w:r>
      <w:r w:rsidR="003A44E4">
        <w:t xml:space="preserve"> argued that Louis XIV was well on the way to totalitarianism, only hindered</w:t>
      </w:r>
      <w:r w:rsidR="00A07145">
        <w:t xml:space="preserve"> </w:t>
      </w:r>
      <w:r w:rsidR="003A44E4">
        <w:t xml:space="preserve">by the primitive technology </w:t>
      </w:r>
      <w:r w:rsidR="005F62E6">
        <w:t xml:space="preserve">of the day. Now, however, in a highly industrialised world , with its modern weapons, communications and organising power, the trend was all towards highly centralised modes of control, even a thought-police state (as was soon to be described by George Orwell in his dystopian </w:t>
      </w:r>
      <w:r w:rsidR="005F62E6">
        <w:rPr>
          <w:i/>
        </w:rPr>
        <w:t>Nineteen Eighty Four</w:t>
      </w:r>
      <w:r w:rsidR="005F62E6">
        <w:t>.) Aldous wrote: “When the need for military efficiency is added to the need for industrial efficiency, totalitarianism becomes inevitable. Te</w:t>
      </w:r>
      <w:r w:rsidR="00DB581C">
        <w:t>c</w:t>
      </w:r>
      <w:r w:rsidR="005F62E6">
        <w:t>hnological progress, nationalism and war seem to guarantee that the immediate future of the world shall belong</w:t>
      </w:r>
      <w:r w:rsidR="00DB581C">
        <w:t xml:space="preserve"> to various forms of totalitarianism. But a world made safe for totalitarianism is a world, in all probability, made very unsafe for mysticism and theocentric religion”. In such a world people would be deprived of proven methods of transforming their personalities, deprived of “direct, experimental knowledge of reality to set up against the false doctrine of totalitarian anthropocentrism  and the pernicious ideas and practices of nationalistic pseudo-mysticism” (p.279.)</w:t>
      </w:r>
    </w:p>
    <w:p w:rsidR="00694529" w:rsidRDefault="00A42523" w:rsidP="00CE69DE">
      <w:r>
        <w:t>As Robert Kuehn puts it: “Huxley seems to have been born mistrustful of received attitudes and disdainful of those creeds that provided his forebears with a sense of order, continuity, and spiritual composure”</w:t>
      </w:r>
      <w:r>
        <w:rPr>
          <w:rStyle w:val="FootnoteReference"/>
        </w:rPr>
        <w:footnoteReference w:id="4"/>
      </w:r>
      <w:r>
        <w:t>.</w:t>
      </w:r>
      <w:r w:rsidR="00717773">
        <w:t xml:space="preserve"> </w:t>
      </w:r>
      <w:r w:rsidR="00CF2569">
        <w:t xml:space="preserve">Aldous was by temperament dystopian. </w:t>
      </w:r>
      <w:r w:rsidR="000F1D46">
        <w:t>He had no faith that humans could build anything remotely resembling a perfect society.</w:t>
      </w:r>
      <w:r w:rsidR="005F62E6">
        <w:t xml:space="preserve"> </w:t>
      </w:r>
      <w:r w:rsidR="000F1D46">
        <w:t>All that preserved the world from utter breakdown was the example and work of what he called “theocratic saints”, good people with deeply rooted moral values, compassionate and unselfish</w:t>
      </w:r>
      <w:r w:rsidR="00DB15A9">
        <w:t>, disinterested, serene and totally fearless</w:t>
      </w:r>
      <w:r w:rsidR="000F1D46">
        <w:t xml:space="preserve">. Few existed at any given moment, but they were able to mitigate “the poisons which society generates within itself by its political and economic activities”. </w:t>
      </w:r>
      <w:r w:rsidR="00DB15A9">
        <w:t>Aldous argued that “goodness politics”, as opposed to “power politics”, tended to prevail among individuals and small groups: “More specifically, it is the art of combining decentralization of government and industry, local and functional autonomy and smallness of administrative with enough over-all efficiency to guarantee</w:t>
      </w:r>
      <w:r w:rsidR="00694529">
        <w:t xml:space="preserve"> the smooth running of the administrative whole. Goodness politics have never been attempted in any large society…” (pp.280-281.)</w:t>
      </w:r>
      <w:r w:rsidR="00E05ADF">
        <w:t>There was an echo here of the values of guild socialism and Kropotkin’s anarchism, both alive and well in the British Left at the time.</w:t>
      </w:r>
    </w:p>
    <w:p w:rsidR="006D06A9" w:rsidRDefault="00694529" w:rsidP="00CE69DE">
      <w:r>
        <w:t>On such matters, Aldous and Julian parted company. Julian was more pro-science and centralist, optimistic about progress based upon technology and welfarism (although he did see the potential dangers of science). Aldous feared that science and centralism were the seedbeds of militaristic totalitarianism. He favoured Gandhian pacifism and an economically decentralised</w:t>
      </w:r>
      <w:r w:rsidR="00E05ADF">
        <w:t>, self-sufficient democratic society.</w:t>
      </w:r>
      <w:r w:rsidR="00F554DA">
        <w:t xml:space="preserve"> He would later add a Green Movement style of environmentalism, even nature worship, dedicated to preservation of endangered species and wilderness, counterculture and New </w:t>
      </w:r>
      <w:r w:rsidR="00F554DA">
        <w:lastRenderedPageBreak/>
        <w:t>Ageism, population control, safeguarding the beauty</w:t>
      </w:r>
      <w:r w:rsidR="000634F2">
        <w:t xml:space="preserve"> and delicate equilibrium of the planet. He was a recognised pioneer in this field.</w:t>
      </w:r>
      <w:r w:rsidR="005F62E6">
        <w:t xml:space="preserve">  </w:t>
      </w:r>
    </w:p>
    <w:p w:rsidR="0035701C" w:rsidRDefault="005122DD" w:rsidP="00CE69DE">
      <w:r>
        <w:rPr>
          <w:i/>
        </w:rPr>
        <w:t>End</w:t>
      </w:r>
      <w:r w:rsidR="00F965F4">
        <w:rPr>
          <w:i/>
        </w:rPr>
        <w:t>s</w:t>
      </w:r>
      <w:r>
        <w:rPr>
          <w:i/>
        </w:rPr>
        <w:t xml:space="preserve"> and Means</w:t>
      </w:r>
      <w:r>
        <w:t xml:space="preserve"> discusses the difference between the scientific discourse and that of religion and mysticism. Like Joseph Needham, Aldous recognised that science was strong on the measurable, less so on the unmeasurable.  The </w:t>
      </w:r>
      <w:r w:rsidR="002E7A35">
        <w:t>scientist</w:t>
      </w:r>
      <w:r w:rsidR="0035701C">
        <w:t xml:space="preserve"> </w:t>
      </w:r>
      <w:r w:rsidR="002E7A35">
        <w:t>(</w:t>
      </w:r>
      <w:r>
        <w:t>says Aldous</w:t>
      </w:r>
      <w:r w:rsidR="002E7A35">
        <w:t>)</w:t>
      </w:r>
      <w:r>
        <w:t xml:space="preserve"> selects from the whole of existence only those elements “which can be weighed, numbered, or which lend themselves in any other way to mathematical treatment”. Using such techniques, science had succeeded to an astonishing degree in understanding and dominating the physical environment: “The success was intoxicating and … many scientists and philosophers came to imagine that this useful abstraction from reality was reality itself. Reality as actually experienced contains intuitions of value and significance, contains love, beauty, mystical ecstasy, intimations of godhead.</w:t>
      </w:r>
      <w:r w:rsidR="002E7A35">
        <w:t xml:space="preserve"> Science did not and still does not possess intellectual instruments with which to deal with these aspects of reality” (p.362.)</w:t>
      </w:r>
    </w:p>
    <w:p w:rsidR="00902C88" w:rsidRDefault="002E7A35" w:rsidP="00CE69DE">
      <w:r>
        <w:t xml:space="preserve"> </w:t>
      </w:r>
      <w:r w:rsidR="00CF17A6">
        <w:t>The arts, by contrast, did try to describe and explain the non-measureable, purely qualitative aspects of reality. Aldous himself of course grappled with the mystical and transcendental, and</w:t>
      </w:r>
      <w:r w:rsidR="00CF6F3C">
        <w:t xml:space="preserve"> he did so </w:t>
      </w:r>
      <w:r w:rsidR="00CF17A6">
        <w:t xml:space="preserve">increasingly with time, recruiting mind-changing drugs in later life to enter such spheres.  He became ever more frustrated by the arrogance of some scientists when they made sweeping judgments on such issues from a basis of quantitative science. </w:t>
      </w:r>
      <w:r w:rsidR="00E35F6C">
        <w:t xml:space="preserve">They were in fact, as Galileo had long ago admitted, incompetent to discuss such matters.  They combined competence in their specialist field with actual incompetence in the discourses of the arts and religion: “They have no right to claim that this product of incompetence and specialization is a complete picture of reality. </w:t>
      </w:r>
      <w:proofErr w:type="gramStart"/>
      <w:r w:rsidR="00E35F6C">
        <w:t>As a matter of historical fact, however, this claim has constantly been made” (p.363.)</w:t>
      </w:r>
      <w:proofErr w:type="gramEnd"/>
      <w:r w:rsidR="00E35F6C">
        <w:t xml:space="preserve"> </w:t>
      </w:r>
    </w:p>
    <w:p w:rsidR="005122DD" w:rsidRDefault="00E35F6C" w:rsidP="00CE69DE">
      <w:r>
        <w:t xml:space="preserve">This observation has great contemporary significance, when we think of books such as Richard Dawkins’s </w:t>
      </w:r>
      <w:r>
        <w:rPr>
          <w:i/>
        </w:rPr>
        <w:t>The God Delusion</w:t>
      </w:r>
      <w:r>
        <w:t>.</w:t>
      </w:r>
      <w:r w:rsidR="00A0665C">
        <w:t xml:space="preserve"> Dawkins has been well described as “the zoologist and tireless tractarian, who – despite his embarrassing incapacity for philosophical reasoning – never fails to entrance his eager readers with his rhetorical recklessness”.</w:t>
      </w:r>
      <w:r>
        <w:t xml:space="preserve"> </w:t>
      </w:r>
      <w:r w:rsidR="00A0665C">
        <w:rPr>
          <w:rStyle w:val="FootnoteReference"/>
        </w:rPr>
        <w:footnoteReference w:id="5"/>
      </w:r>
      <w:r w:rsidR="00A0665C">
        <w:t xml:space="preserve"> On the other hand, Aldous did admit that “many men of science have come to realize that the scientific picture of the world is a partial one – the product of their special competence in mathematics and their special incompetence to deal systematically with aesthetic and moral values, religious experiences and intuitions of</w:t>
      </w:r>
      <w:r w:rsidR="00684673">
        <w:t xml:space="preserve"> significance” (</w:t>
      </w:r>
      <w:r w:rsidR="00CF6F3C">
        <w:rPr>
          <w:i/>
        </w:rPr>
        <w:t>End</w:t>
      </w:r>
      <w:r w:rsidR="00F965F4">
        <w:rPr>
          <w:i/>
        </w:rPr>
        <w:t>s</w:t>
      </w:r>
      <w:r w:rsidR="00CF6F3C">
        <w:rPr>
          <w:i/>
        </w:rPr>
        <w:t xml:space="preserve"> and Means</w:t>
      </w:r>
      <w:r w:rsidR="00CF6F3C">
        <w:t>, p. 363</w:t>
      </w:r>
      <w:r w:rsidR="00684673">
        <w:t xml:space="preserve">.) Aldous was right here. Two examples </w:t>
      </w:r>
      <w:r w:rsidR="00902C88">
        <w:t>we may think of</w:t>
      </w:r>
      <w:r w:rsidR="00A84338">
        <w:t xml:space="preserve"> </w:t>
      </w:r>
      <w:r w:rsidR="00684673">
        <w:t>were the scientists</w:t>
      </w:r>
      <w:r w:rsidR="00CA2C18">
        <w:t xml:space="preserve"> Arthur</w:t>
      </w:r>
      <w:r w:rsidR="00CF6F3C">
        <w:t xml:space="preserve"> </w:t>
      </w:r>
      <w:r w:rsidR="00684673">
        <w:t>Eddington and Joseph Needham.</w:t>
      </w:r>
      <w:r w:rsidR="00A84338">
        <w:t xml:space="preserve"> Unfortunately public opinion, even in Aldous’s day and so much more today, has tended uncritically to accept the Dawkins’s sort of view.</w:t>
      </w:r>
    </w:p>
    <w:p w:rsidR="00A84338" w:rsidRDefault="00A84338" w:rsidP="00CE69DE">
      <w:r>
        <w:t>Aldous himself had gone through a</w:t>
      </w:r>
      <w:r w:rsidR="007E2B28">
        <w:t>n early</w:t>
      </w:r>
      <w:r>
        <w:t xml:space="preserve"> period of scepticism, a sense that he, like many hard</w:t>
      </w:r>
      <w:r w:rsidR="00A55072">
        <w:t>-</w:t>
      </w:r>
      <w:r>
        <w:t xml:space="preserve">nosed scientists, knew better than believers. Like most of his contemporaries, he said, he </w:t>
      </w:r>
      <w:r w:rsidR="00A55072">
        <w:t>had taken</w:t>
      </w:r>
      <w:r>
        <w:t xml:space="preserve"> on a philosophy of meaninglessness. Why? Because it </w:t>
      </w:r>
      <w:r w:rsidR="00A55072">
        <w:t>seemed</w:t>
      </w:r>
      <w:r>
        <w:t xml:space="preserve"> essentially an instrument of liberation:</w:t>
      </w:r>
    </w:p>
    <w:p w:rsidR="00A84338" w:rsidRDefault="00A84338" w:rsidP="00CE69DE">
      <w:r>
        <w:t xml:space="preserve"> “The liberation we desired</w:t>
      </w:r>
      <w:r w:rsidR="007E2B28">
        <w:t xml:space="preserve"> was simultaneously liberation from a certain political and economic system and liberation from a certain system of morality. We objected to the morality because it interfered with our sexual freedom; we objected to the political and economic system because it was unjust. The supporters of these systems claimed that in some way they embodied the meaning </w:t>
      </w:r>
      <w:r w:rsidR="007E2B28">
        <w:lastRenderedPageBreak/>
        <w:t>(a Christian meaning, they insisted) of the world. There was one admirably simple method of confusing these people and at the same time justifying ourselves in our political and erotic revolt: we could deny that the world had any meaning whatsoever” (p.366.) There are echoes here of his friend D. H. Lawrence, a great advocate of sexual freedom.</w:t>
      </w:r>
    </w:p>
    <w:p w:rsidR="007E2B28" w:rsidRDefault="007E2B28" w:rsidP="00CE69DE">
      <w:r>
        <w:t>Aldous saw the doctrine of meaningless</w:t>
      </w:r>
      <w:r w:rsidR="00A55072">
        <w:t>ness</w:t>
      </w:r>
      <w:r>
        <w:t xml:space="preserve"> at its height in the years immediately following the Great War of 1914-18.</w:t>
      </w:r>
      <w:r w:rsidR="00AA2A23">
        <w:t xml:space="preserve"> By the end of the twenties, however, a partial reaction had set in. Meaningless</w:t>
      </w:r>
      <w:r w:rsidR="00673172">
        <w:t>ness</w:t>
      </w:r>
      <w:r w:rsidR="00AA2A23">
        <w:t xml:space="preserve"> continued, but was exempted, so to say, in the matters of deification of the nation, state, class and party: “We have thought of ourselves as members of supremely meaningful and valuable communities – deified nations, divine classes and what not – existing within a meaningless universe. And because we have thought like this, rearmament is in full swing, economic nationalism becomes ever more intense, the battle of rival propagandas grows ever fiercer, and general war becomes increasingly more probable” (p.367.) He was only too right. The doctrine of meaninglessness had, as he predicted, produced only evil and disastrous results.</w:t>
      </w:r>
      <w:r w:rsidR="00420466">
        <w:t xml:space="preserve"> This forced </w:t>
      </w:r>
      <w:r w:rsidR="00673172">
        <w:t xml:space="preserve">the younger </w:t>
      </w:r>
      <w:r w:rsidR="00420466">
        <w:t>Aldous to reconsider his position.</w:t>
      </w:r>
    </w:p>
    <w:p w:rsidR="006410FC" w:rsidRDefault="00420466" w:rsidP="00CE69DE">
      <w:r>
        <w:t xml:space="preserve">Most people, he speculated, soon became dissatisfied with a philosophy of meaninglessness. They tended to exchange it for any dogma that seemed to restore meaning to their world. Thus they turned to all sorts of isms and </w:t>
      </w:r>
      <w:r w:rsidR="00836961">
        <w:t>charlatan</w:t>
      </w:r>
      <w:r>
        <w:t xml:space="preserve"> worldviews</w:t>
      </w:r>
      <w:r w:rsidR="00E03BEF">
        <w:rPr>
          <w:rStyle w:val="FootnoteReference"/>
        </w:rPr>
        <w:footnoteReference w:id="6"/>
      </w:r>
      <w:r>
        <w:t xml:space="preserve">. Many commentators of the interwar period, from Chesterton and Middleton Murry to </w:t>
      </w:r>
      <w:r w:rsidR="00836961">
        <w:t>Toynbee and Tawney, had observed the same phenomenon, and warned of its dangers to society. Meanwhile scientists buried their heads in the sand, refusing to take responsibility for their research and attitudes. They retired to “their cloistered laboratories, and there amuse themselves by performing delightfully interesting researches. Science and art are only too often a superior kind of dope, possessing this advantage over booze and morphia: that they can be indulged in with a good conscience and with the conviction that, in the process of indulging, one is leading the ‘higher life’” (p.369.)</w:t>
      </w:r>
    </w:p>
    <w:p w:rsidR="000817C8" w:rsidRDefault="006410FC" w:rsidP="00CE69DE">
      <w:r>
        <w:t xml:space="preserve">Given the futility of the dogma of meaninglessness, how do we find an alternative philosophy that </w:t>
      </w:r>
      <w:r w:rsidR="00A05007">
        <w:t>is</w:t>
      </w:r>
      <w:r>
        <w:t xml:space="preserve"> true and fruitful of good? Here Aldous runs into all the traditional philosophical problems associated with the validity or otherwise of religion, all the difficulties faced for aeons by theologians.</w:t>
      </w:r>
      <w:r w:rsidR="00836961">
        <w:t xml:space="preserve"> </w:t>
      </w:r>
      <w:r>
        <w:t>And it cannot be said that his answers, although sensible, were particularly original or inventive. He agreed that the classical arguments for theism were flawed, but did contain “a presumption in favour of the theory that the world possesses some integrating</w:t>
      </w:r>
      <w:r w:rsidR="002B2055">
        <w:t xml:space="preserve"> principle that gives it significance and value… Final convictions can only come to those who make an act of faith.” This was, on closer inspection, no more difficult than (say) scientists framing a scientific hypothesis (itself really an act of faith), “every time that, from the consideration of a few phenomenon, we draw inference concerning all phenomena, past, present and future. On very little evidence, but with no qualms of intellectual conscience, we assume that our craving f</w:t>
      </w:r>
      <w:r w:rsidR="00A05007">
        <w:t>or</w:t>
      </w:r>
      <w:r w:rsidR="002B2055">
        <w:t xml:space="preserve"> explanation has a real object in an explicable universe, that the aesthetic satisfaction we derive from certain arguments is a sign that they are true, that the laws of thought are also laws of things” (p.369.)</w:t>
      </w:r>
    </w:p>
    <w:p w:rsidR="00420466" w:rsidRPr="00F33897" w:rsidRDefault="000817C8" w:rsidP="00CE69DE">
      <w:r>
        <w:lastRenderedPageBreak/>
        <w:t>Aldous proposes that experiences ignored by the natural sciences</w:t>
      </w:r>
      <w:r w:rsidR="00CD4DBC">
        <w:t xml:space="preserve"> -</w:t>
      </w:r>
      <w:r>
        <w:t xml:space="preserve"> especially aesthetic and religious experiences – can throw much light upon the above issues. In the religious sphere he was much drawn to meditation as a means of producing a “super-rational concentration of the will.” Aldous had become increasingly interested in Buddhism, and this coloured his analysis here. Meditation was, he believed, a method for acquiring knowledge about the essential nature of things, “a method for establishing communion between the soul and the integrating principle of the universe.” Through mysticism (a technique of meditation) a person may achieve a state of “transcendental consciousness”, which was “the direct intuition of, and union with, an ultimate spiritual</w:t>
      </w:r>
      <w:r w:rsidR="00CD4DBC">
        <w:t xml:space="preserve"> reality that is perceived as simultaneously beyond the self and in some way within it” (p.370.)To live a good</w:t>
      </w:r>
      <w:r w:rsidR="00F33897">
        <w:t>,</w:t>
      </w:r>
      <w:r w:rsidR="00CD4DBC">
        <w:t xml:space="preserve"> mystical life was not easy. It involved a lifetime of systematic training, of constant awareness and unremitting moral effort.  Modern physics, theories such as relativity and quantum physics were showing how complex the physical universe was, a world of atoms, particles, strange patterns of units of energy: “An ultimate physical identity underlies the apparent physical diversity of the world. Moreover, all apparently independent</w:t>
      </w:r>
      <w:r w:rsidR="00F33897">
        <w:t xml:space="preserve"> exigents are in fact interdependent.”  Such things could also be shown by the mystics. Trained in the discipline of recollection and meditation, they could obtain “direct experience of a spiritual unity underlying the apparent diversity of independent consciousness… it was possible for individuals to transcend the limitations of personality and to merge their private consciousness into a greater, impersonal consciousness underlying the personal mind…” (p. 373.) </w:t>
      </w:r>
      <w:r w:rsidR="00F33897">
        <w:rPr>
          <w:i/>
        </w:rPr>
        <w:t>Ends and Means</w:t>
      </w:r>
      <w:r w:rsidR="00F33897">
        <w:t xml:space="preserve"> thus </w:t>
      </w:r>
      <w:proofErr w:type="gramStart"/>
      <w:r w:rsidR="00F33897">
        <w:t>concludes</w:t>
      </w:r>
      <w:proofErr w:type="gramEnd"/>
      <w:r w:rsidR="00F33897">
        <w:t xml:space="preserve"> on a muted note of optimism, a sort of Buddhistic defiance of a degraded world.</w:t>
      </w:r>
    </w:p>
    <w:p w:rsidR="00902C88" w:rsidRPr="00684673" w:rsidRDefault="00902C88" w:rsidP="00CE69DE"/>
    <w:sectPr w:rsidR="00902C88" w:rsidRPr="00684673">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0621" w:rsidRDefault="00440621" w:rsidP="00D306A4">
      <w:pPr>
        <w:spacing w:after="0" w:line="240" w:lineRule="auto"/>
      </w:pPr>
      <w:r>
        <w:separator/>
      </w:r>
    </w:p>
  </w:endnote>
  <w:endnote w:type="continuationSeparator" w:id="0">
    <w:p w:rsidR="00440621" w:rsidRDefault="00440621" w:rsidP="00D306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4130" w:rsidRDefault="0064413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30814820"/>
      <w:docPartObj>
        <w:docPartGallery w:val="Page Numbers (Bottom of Page)"/>
        <w:docPartUnique/>
      </w:docPartObj>
    </w:sdtPr>
    <w:sdtEndPr>
      <w:rPr>
        <w:noProof/>
      </w:rPr>
    </w:sdtEndPr>
    <w:sdtContent>
      <w:p w:rsidR="00644130" w:rsidRDefault="00644130">
        <w:pPr>
          <w:pStyle w:val="Footer"/>
          <w:jc w:val="center"/>
        </w:pPr>
        <w:r>
          <w:fldChar w:fldCharType="begin"/>
        </w:r>
        <w:r>
          <w:instrText xml:space="preserve"> PAGE   \* MERGEFORMAT </w:instrText>
        </w:r>
        <w:r>
          <w:fldChar w:fldCharType="separate"/>
        </w:r>
        <w:r w:rsidR="00057FD4">
          <w:rPr>
            <w:noProof/>
          </w:rPr>
          <w:t>2</w:t>
        </w:r>
        <w:r>
          <w:rPr>
            <w:noProof/>
          </w:rPr>
          <w:fldChar w:fldCharType="end"/>
        </w:r>
      </w:p>
    </w:sdtContent>
  </w:sdt>
  <w:p w:rsidR="00644130" w:rsidRDefault="0064413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4130" w:rsidRDefault="0064413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0621" w:rsidRDefault="00440621" w:rsidP="00D306A4">
      <w:pPr>
        <w:spacing w:after="0" w:line="240" w:lineRule="auto"/>
      </w:pPr>
      <w:r>
        <w:separator/>
      </w:r>
    </w:p>
  </w:footnote>
  <w:footnote w:type="continuationSeparator" w:id="0">
    <w:p w:rsidR="00440621" w:rsidRDefault="00440621" w:rsidP="00D306A4">
      <w:pPr>
        <w:spacing w:after="0" w:line="240" w:lineRule="auto"/>
      </w:pPr>
      <w:r>
        <w:continuationSeparator/>
      </w:r>
    </w:p>
  </w:footnote>
  <w:footnote w:id="1">
    <w:p w:rsidR="00D306A4" w:rsidRPr="00020FCA" w:rsidRDefault="00D306A4">
      <w:pPr>
        <w:pStyle w:val="FootnoteText"/>
      </w:pPr>
      <w:r>
        <w:rPr>
          <w:rStyle w:val="FootnoteReference"/>
        </w:rPr>
        <w:footnoteRef/>
      </w:r>
      <w:r>
        <w:t xml:space="preserve"> </w:t>
      </w:r>
      <w:proofErr w:type="gramStart"/>
      <w:r>
        <w:t xml:space="preserve">R. S. Deese, </w:t>
      </w:r>
      <w:r>
        <w:rPr>
          <w:i/>
        </w:rPr>
        <w:t>We</w:t>
      </w:r>
      <w:r w:rsidR="00020FCA">
        <w:rPr>
          <w:i/>
        </w:rPr>
        <w:t xml:space="preserve"> </w:t>
      </w:r>
      <w:r>
        <w:rPr>
          <w:i/>
        </w:rPr>
        <w:t>Are Amphibians</w:t>
      </w:r>
      <w:r w:rsidR="00020FCA">
        <w:t xml:space="preserve"> (Oakland, University of California Press, 2015), pp.88-89.</w:t>
      </w:r>
      <w:proofErr w:type="gramEnd"/>
    </w:p>
  </w:footnote>
  <w:footnote w:id="2">
    <w:p w:rsidR="00110C4E" w:rsidRPr="00681090" w:rsidRDefault="00110C4E">
      <w:pPr>
        <w:pStyle w:val="FootnoteText"/>
      </w:pPr>
      <w:r>
        <w:rPr>
          <w:rStyle w:val="FootnoteReference"/>
        </w:rPr>
        <w:footnoteRef/>
      </w:r>
      <w:r>
        <w:t xml:space="preserve"> </w:t>
      </w:r>
      <w:proofErr w:type="gramStart"/>
      <w:r>
        <w:t>As Aldous wrote in 1927: “A great many men and women … do not want to be cultured, are not interested in the higher life.</w:t>
      </w:r>
      <w:proofErr w:type="gramEnd"/>
      <w:r>
        <w:t xml:space="preserve"> For these people existence on the lower, animal level is perfectly satisfactory. Given food, drink, the company of their fellows, sexual enjoyment, and plenty of noisy distractions from without, they are happy”. The culture of the “jazz age”, of Scott Fitzgerald’s </w:t>
      </w:r>
      <w:r>
        <w:rPr>
          <w:i/>
        </w:rPr>
        <w:t>Great Gatsby</w:t>
      </w:r>
      <w:r>
        <w:t>, of dancing, movies, sports and tabloid newspapers was for them ideal: “</w:t>
      </w:r>
      <w:r w:rsidR="00681090">
        <w:t xml:space="preserve">The Outlook for American Culture”, </w:t>
      </w:r>
      <w:r w:rsidR="00681090">
        <w:rPr>
          <w:i/>
        </w:rPr>
        <w:t>Harpers</w:t>
      </w:r>
      <w:r w:rsidR="00681090">
        <w:t>, 155 (1927), p.262,quoted Deese, p.80. You can see why Aldous was accused of being an intellectual snob!</w:t>
      </w:r>
    </w:p>
  </w:footnote>
  <w:footnote w:id="3">
    <w:p w:rsidR="00A07145" w:rsidRPr="00A07145" w:rsidRDefault="00A07145">
      <w:pPr>
        <w:pStyle w:val="FootnoteText"/>
      </w:pPr>
      <w:r>
        <w:rPr>
          <w:rStyle w:val="FootnoteReference"/>
        </w:rPr>
        <w:footnoteRef/>
      </w:r>
      <w:r>
        <w:t xml:space="preserve"> </w:t>
      </w:r>
      <w:proofErr w:type="gramStart"/>
      <w:r>
        <w:t>Aldous Huxley, “End</w:t>
      </w:r>
      <w:r w:rsidR="00F965F4">
        <w:t>s</w:t>
      </w:r>
      <w:r>
        <w:t xml:space="preserve"> and Means” (1937) in </w:t>
      </w:r>
      <w:r>
        <w:rPr>
          <w:i/>
        </w:rPr>
        <w:t>Collected Essays</w:t>
      </w:r>
      <w:r>
        <w:t xml:space="preserve"> (London, </w:t>
      </w:r>
      <w:proofErr w:type="spellStart"/>
      <w:r>
        <w:t>Chatto</w:t>
      </w:r>
      <w:proofErr w:type="spellEnd"/>
      <w:r>
        <w:t xml:space="preserve"> and </w:t>
      </w:r>
      <w:proofErr w:type="spellStart"/>
      <w:r>
        <w:t>WIndus</w:t>
      </w:r>
      <w:proofErr w:type="spellEnd"/>
      <w:r>
        <w:t>, 1960)</w:t>
      </w:r>
      <w:r w:rsidR="00673172">
        <w:t>,</w:t>
      </w:r>
      <w:r>
        <w:t xml:space="preserve"> p.278.</w:t>
      </w:r>
      <w:proofErr w:type="gramEnd"/>
      <w:r w:rsidR="00B3216B">
        <w:t xml:space="preserve"> Page references in the text are to this source</w:t>
      </w:r>
      <w:r w:rsidR="006059B9">
        <w:t xml:space="preserve"> unless otherwise indicated</w:t>
      </w:r>
      <w:r w:rsidR="00B3216B">
        <w:t>.</w:t>
      </w:r>
    </w:p>
  </w:footnote>
  <w:footnote w:id="4">
    <w:p w:rsidR="00A42523" w:rsidRPr="00A42523" w:rsidRDefault="00A42523">
      <w:pPr>
        <w:pStyle w:val="FootnoteText"/>
      </w:pPr>
      <w:r>
        <w:rPr>
          <w:rStyle w:val="FootnoteReference"/>
        </w:rPr>
        <w:footnoteRef/>
      </w:r>
      <w:r>
        <w:t xml:space="preserve"> </w:t>
      </w:r>
      <w:proofErr w:type="gramStart"/>
      <w:r>
        <w:t xml:space="preserve">Robert E. </w:t>
      </w:r>
      <w:proofErr w:type="spellStart"/>
      <w:r>
        <w:t>Kuehn,”Introduction</w:t>
      </w:r>
      <w:proofErr w:type="spellEnd"/>
      <w:r>
        <w:t>”</w:t>
      </w:r>
      <w:r w:rsidR="00057FD4">
        <w:t xml:space="preserve"> </w:t>
      </w:r>
      <w:r>
        <w:t xml:space="preserve">to Kuehn, ed. </w:t>
      </w:r>
      <w:r>
        <w:rPr>
          <w:i/>
        </w:rPr>
        <w:t>Aldous Huxley: A Collection of Critical Essays</w:t>
      </w:r>
      <w:r>
        <w:t xml:space="preserve"> (Prentice-Hall, Eaglewood Cliffs, N.J.), p.1.</w:t>
      </w:r>
      <w:proofErr w:type="gramEnd"/>
      <w:r>
        <w:t xml:space="preserve"> Kuehn also comments: “he began as an </w:t>
      </w:r>
      <w:r>
        <w:rPr>
          <w:i/>
        </w:rPr>
        <w:t>enfant terrible</w:t>
      </w:r>
      <w:r>
        <w:t xml:space="preserve"> and ended as a sage… His intellectual temperament</w:t>
      </w:r>
      <w:r w:rsidR="006059B9">
        <w:t>, if one may call it that, was sceptical, restless, experimenta</w:t>
      </w:r>
      <w:bookmarkStart w:id="0" w:name="_GoBack"/>
      <w:bookmarkEnd w:id="0"/>
      <w:r w:rsidR="006059B9">
        <w:t>l. In his youth he was an ardent debunker of moribund truths; in middle age he became an ardent seeker of new truths or of fresh combinations of old truths” (ibid.)</w:t>
      </w:r>
    </w:p>
  </w:footnote>
  <w:footnote w:id="5">
    <w:p w:rsidR="00A0665C" w:rsidRPr="00A0665C" w:rsidRDefault="00A0665C">
      <w:pPr>
        <w:pStyle w:val="FootnoteText"/>
      </w:pPr>
      <w:r>
        <w:rPr>
          <w:rStyle w:val="FootnoteReference"/>
        </w:rPr>
        <w:footnoteRef/>
      </w:r>
      <w:r>
        <w:t xml:space="preserve"> David Bentley Hart, </w:t>
      </w:r>
      <w:r>
        <w:rPr>
          <w:i/>
        </w:rPr>
        <w:t>Atheist Delusions: The Christian Revolution and Its Fashionable Enemies</w:t>
      </w:r>
      <w:r>
        <w:t xml:space="preserve"> (New Haven, London, Yale University Press, 2009), p.4.</w:t>
      </w:r>
    </w:p>
  </w:footnote>
  <w:footnote w:id="6">
    <w:p w:rsidR="00E03BEF" w:rsidRPr="00E03BEF" w:rsidRDefault="00E03BEF">
      <w:pPr>
        <w:pStyle w:val="FootnoteText"/>
      </w:pPr>
      <w:r>
        <w:rPr>
          <w:rStyle w:val="FootnoteReference"/>
        </w:rPr>
        <w:footnoteRef/>
      </w:r>
      <w:r>
        <w:t xml:space="preserve"> In </w:t>
      </w:r>
      <w:r>
        <w:rPr>
          <w:i/>
        </w:rPr>
        <w:t>Grey Eminence</w:t>
      </w:r>
      <w:r>
        <w:t xml:space="preserve"> (New York, 1937), Aldous warned people to beware of “only false, ersatz mysticisms – the nature-mysticism of Wordsworth; the sublimated sexual mysticism of Whitman; the nationality-mysticisms of all the patriotic poets and philosophers of every race and culture…” (p. 77). Genuine mysticism was intuitive knowledge and love of God.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4130" w:rsidRDefault="0064413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4130" w:rsidRDefault="0064413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4130" w:rsidRDefault="0064413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6E0A"/>
    <w:rsid w:val="00020FCA"/>
    <w:rsid w:val="00057FD4"/>
    <w:rsid w:val="000634F2"/>
    <w:rsid w:val="000817C8"/>
    <w:rsid w:val="000B280C"/>
    <w:rsid w:val="000D7FF5"/>
    <w:rsid w:val="000F1D46"/>
    <w:rsid w:val="001052CF"/>
    <w:rsid w:val="00110C4E"/>
    <w:rsid w:val="0026107D"/>
    <w:rsid w:val="002B2055"/>
    <w:rsid w:val="002D1813"/>
    <w:rsid w:val="002E7A35"/>
    <w:rsid w:val="003503D5"/>
    <w:rsid w:val="0035701C"/>
    <w:rsid w:val="003A44E4"/>
    <w:rsid w:val="00420466"/>
    <w:rsid w:val="00440621"/>
    <w:rsid w:val="004C4E99"/>
    <w:rsid w:val="005122DD"/>
    <w:rsid w:val="005C269E"/>
    <w:rsid w:val="005C4627"/>
    <w:rsid w:val="005C555B"/>
    <w:rsid w:val="005F0E59"/>
    <w:rsid w:val="005F62E6"/>
    <w:rsid w:val="006059B9"/>
    <w:rsid w:val="006410FC"/>
    <w:rsid w:val="00644130"/>
    <w:rsid w:val="00650BD8"/>
    <w:rsid w:val="0067146A"/>
    <w:rsid w:val="00673172"/>
    <w:rsid w:val="00681090"/>
    <w:rsid w:val="00684673"/>
    <w:rsid w:val="00694529"/>
    <w:rsid w:val="006974ED"/>
    <w:rsid w:val="006D06A9"/>
    <w:rsid w:val="00717773"/>
    <w:rsid w:val="007E2B28"/>
    <w:rsid w:val="00836961"/>
    <w:rsid w:val="00892273"/>
    <w:rsid w:val="00902C88"/>
    <w:rsid w:val="00953BA0"/>
    <w:rsid w:val="00A05007"/>
    <w:rsid w:val="00A0665C"/>
    <w:rsid w:val="00A07145"/>
    <w:rsid w:val="00A079B7"/>
    <w:rsid w:val="00A36E0A"/>
    <w:rsid w:val="00A42523"/>
    <w:rsid w:val="00A55072"/>
    <w:rsid w:val="00A84338"/>
    <w:rsid w:val="00AA2A23"/>
    <w:rsid w:val="00AA2C9F"/>
    <w:rsid w:val="00B3216B"/>
    <w:rsid w:val="00BC7B60"/>
    <w:rsid w:val="00C43CBA"/>
    <w:rsid w:val="00CA2C18"/>
    <w:rsid w:val="00CB1628"/>
    <w:rsid w:val="00CD4DBC"/>
    <w:rsid w:val="00CE69DE"/>
    <w:rsid w:val="00CF17A6"/>
    <w:rsid w:val="00CF2569"/>
    <w:rsid w:val="00CF6F3C"/>
    <w:rsid w:val="00D306A4"/>
    <w:rsid w:val="00D4793B"/>
    <w:rsid w:val="00DB15A9"/>
    <w:rsid w:val="00DB581C"/>
    <w:rsid w:val="00E03170"/>
    <w:rsid w:val="00E03BEF"/>
    <w:rsid w:val="00E05ADF"/>
    <w:rsid w:val="00E35F6C"/>
    <w:rsid w:val="00EE6B06"/>
    <w:rsid w:val="00F01F40"/>
    <w:rsid w:val="00F33897"/>
    <w:rsid w:val="00F554DA"/>
    <w:rsid w:val="00F965F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306A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306A4"/>
    <w:rPr>
      <w:sz w:val="20"/>
      <w:szCs w:val="20"/>
    </w:rPr>
  </w:style>
  <w:style w:type="character" w:styleId="FootnoteReference">
    <w:name w:val="footnote reference"/>
    <w:basedOn w:val="DefaultParagraphFont"/>
    <w:uiPriority w:val="99"/>
    <w:semiHidden/>
    <w:unhideWhenUsed/>
    <w:rsid w:val="00D306A4"/>
    <w:rPr>
      <w:vertAlign w:val="superscript"/>
    </w:rPr>
  </w:style>
  <w:style w:type="paragraph" w:styleId="Header">
    <w:name w:val="header"/>
    <w:basedOn w:val="Normal"/>
    <w:link w:val="HeaderChar"/>
    <w:uiPriority w:val="99"/>
    <w:unhideWhenUsed/>
    <w:rsid w:val="006441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4130"/>
  </w:style>
  <w:style w:type="paragraph" w:styleId="Footer">
    <w:name w:val="footer"/>
    <w:basedOn w:val="Normal"/>
    <w:link w:val="FooterChar"/>
    <w:uiPriority w:val="99"/>
    <w:unhideWhenUsed/>
    <w:rsid w:val="006441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413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306A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306A4"/>
    <w:rPr>
      <w:sz w:val="20"/>
      <w:szCs w:val="20"/>
    </w:rPr>
  </w:style>
  <w:style w:type="character" w:styleId="FootnoteReference">
    <w:name w:val="footnote reference"/>
    <w:basedOn w:val="DefaultParagraphFont"/>
    <w:uiPriority w:val="99"/>
    <w:semiHidden/>
    <w:unhideWhenUsed/>
    <w:rsid w:val="00D306A4"/>
    <w:rPr>
      <w:vertAlign w:val="superscript"/>
    </w:rPr>
  </w:style>
  <w:style w:type="paragraph" w:styleId="Header">
    <w:name w:val="header"/>
    <w:basedOn w:val="Normal"/>
    <w:link w:val="HeaderChar"/>
    <w:uiPriority w:val="99"/>
    <w:unhideWhenUsed/>
    <w:rsid w:val="006441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4130"/>
  </w:style>
  <w:style w:type="paragraph" w:styleId="Footer">
    <w:name w:val="footer"/>
    <w:basedOn w:val="Normal"/>
    <w:link w:val="FooterChar"/>
    <w:uiPriority w:val="99"/>
    <w:unhideWhenUsed/>
    <w:rsid w:val="006441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41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EED9DC-3695-4C09-B549-2D4EFB2512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365</TotalTime>
  <Pages>5</Pages>
  <Words>2321</Words>
  <Characters>13234</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30</cp:revision>
  <dcterms:created xsi:type="dcterms:W3CDTF">2017-06-26T22:57:00Z</dcterms:created>
  <dcterms:modified xsi:type="dcterms:W3CDTF">2017-07-10T22:45:00Z</dcterms:modified>
</cp:coreProperties>
</file>