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0853" w:rsidRDefault="001F0A7B" w:rsidP="0057481B">
      <w:pPr>
        <w:jc w:val="center"/>
        <w:rPr>
          <w:b/>
        </w:rPr>
      </w:pPr>
      <w:r>
        <w:rPr>
          <w:b/>
        </w:rPr>
        <w:t>R</w:t>
      </w:r>
      <w:r w:rsidR="0057481B">
        <w:rPr>
          <w:b/>
        </w:rPr>
        <w:t>onald Knox</w:t>
      </w:r>
      <w:r w:rsidR="00E66C53">
        <w:rPr>
          <w:b/>
        </w:rPr>
        <w:t>: Satirist and Defender of the Faith</w:t>
      </w:r>
    </w:p>
    <w:p w:rsidR="0057481B" w:rsidRDefault="0057481B" w:rsidP="0057481B">
      <w:r>
        <w:rPr>
          <w:b/>
        </w:rPr>
        <w:t>Caliban in Grub Street</w:t>
      </w:r>
    </w:p>
    <w:p w:rsidR="0057481B" w:rsidRDefault="0057481B" w:rsidP="0057481B">
      <w:r>
        <w:t>Ronald Knox (1888-1957) wrote this book in response to a stream of articles and “symposia” in the popular press in the late 1920s. The contributors included well-known literary figures and public intellectuals</w:t>
      </w:r>
      <w:r w:rsidR="008C59D2">
        <w:t>,</w:t>
      </w:r>
      <w:r>
        <w:t xml:space="preserve"> such as Bertrand Russell, H. G. Wells, Rebecca West, Arthur Conan Doyle, </w:t>
      </w:r>
      <w:r w:rsidR="00E974F7">
        <w:t xml:space="preserve">Robert </w:t>
      </w:r>
      <w:r>
        <w:t>Blatchford</w:t>
      </w:r>
      <w:r w:rsidR="008C59D2">
        <w:t xml:space="preserve"> and Hugh Walpole. There was a sprinkling of clerics, and others, well enough known in their day but now forgotten. Who today has heard of Dr Glover, Francis Younghusband, Henry Arthur Jones, James Douglas, Max Plowman, or even Israel Zangwill? The topics did arouse much interest, enough to suggest to some (not Ronald Knox) that there was a “boom in religion”. The gurus debated issues such as </w:t>
      </w:r>
      <w:r w:rsidR="00E974F7">
        <w:t xml:space="preserve">“Does God Exist?”, “My Religion”, “Is Prayer Answered?” “I Believe in….”, “Where Are the Dead?” and “The Reality of Hell”. </w:t>
      </w:r>
      <w:r w:rsidR="00E974F7">
        <w:rPr>
          <w:i/>
        </w:rPr>
        <w:t>Grub Street</w:t>
      </w:r>
      <w:r w:rsidR="00E974F7">
        <w:t xml:space="preserve"> was a current nickname for the gutter press, and Knox had the “natural man” (or everyman) dubbed as Caliban from Shakespeare’s </w:t>
      </w:r>
      <w:r w:rsidR="00E974F7">
        <w:rPr>
          <w:i/>
        </w:rPr>
        <w:t>The Tempest</w:t>
      </w:r>
      <w:r w:rsidR="00E974F7">
        <w:t xml:space="preserve">. </w:t>
      </w:r>
      <w:r>
        <w:t xml:space="preserve"> </w:t>
      </w:r>
      <w:r w:rsidR="00E974F7">
        <w:t>The book is searing in its wit and satire. Its task was to analyse the assumptions and failures of logic, as Knox saw it, in the “symposiasts”, whose main message, it seemed to him, was “to tell us that the Christianity of the churches has failed, and that some new revelation is necessary</w:t>
      </w:r>
      <w:r w:rsidR="007A0EB6">
        <w:t>, if we are to satisfy the spiritual hunger of human kind”</w:t>
      </w:r>
      <w:r w:rsidR="00FA6036">
        <w:rPr>
          <w:rStyle w:val="FootnoteReference"/>
        </w:rPr>
        <w:footnoteReference w:id="1"/>
      </w:r>
      <w:r w:rsidR="00FA6036">
        <w:t xml:space="preserve"> </w:t>
      </w:r>
      <w:r w:rsidR="007A0EB6">
        <w:t>.</w:t>
      </w:r>
    </w:p>
    <w:p w:rsidR="00D0055E" w:rsidRDefault="00D0055E" w:rsidP="0057481B">
      <w:r>
        <w:t xml:space="preserve">As Knox commented, it was not easy to be definitive about a decline of religion, “the hearts of our fellow-men are not open to scrutiny. But I do entertain the uneasy feeling that the symptoms of our time are being widely misread. There is no evidence that people are more religious; there </w:t>
      </w:r>
      <w:r>
        <w:rPr>
          <w:i/>
        </w:rPr>
        <w:t>is</w:t>
      </w:r>
      <w:r>
        <w:t xml:space="preserve"> evidence that people are fonder of talking about religion, and of talking about it in public” (pp.2-3).</w:t>
      </w:r>
      <w:r w:rsidR="00B012C1">
        <w:t xml:space="preserve"> Knox compared this with people only talking </w:t>
      </w:r>
      <w:r w:rsidR="000A7332">
        <w:t>about</w:t>
      </w:r>
      <w:r w:rsidR="00B012C1">
        <w:t xml:space="preserve"> their health when it was bad. The facts of religious decline had been patent enough, he thought, throughout the twentieth century. </w:t>
      </w:r>
    </w:p>
    <w:p w:rsidR="00C7674C" w:rsidRDefault="00B012C1" w:rsidP="0057481B">
      <w:r>
        <w:t>He gives an analysis – rare enough at the time –of the causes behind the rise of secularism. It is brief. He sees the ripples of agnosticism, “fashionable among intellectual circles in the later Victorian period</w:t>
      </w:r>
      <w:r w:rsidR="00C7674C">
        <w:t>”</w:t>
      </w:r>
      <w:r>
        <w:t xml:space="preserve"> widening out slowly but relentlessly over the surface of the public mind. Other factors include</w:t>
      </w:r>
      <w:r w:rsidR="00C7674C">
        <w:t>d</w:t>
      </w:r>
      <w:r>
        <w:t xml:space="preserve"> the growth of the Labour movement which had neutralized the political appea</w:t>
      </w:r>
      <w:r w:rsidR="00C7674C">
        <w:t xml:space="preserve">l, </w:t>
      </w:r>
      <w:r>
        <w:t>“and sapped the political</w:t>
      </w:r>
      <w:r w:rsidR="00C7674C">
        <w:t xml:space="preserve"> strength of Nonconformity. Increased facilities for worldly enjoyment had whetted the appetite for it; popular education had encouraged people to specialize over their hobbies; a genera l loss of simplicity began to tell upon the vitality of our insular religion, which had always depended upon a soil of unadventurous conservatism to fertilize its influence”</w:t>
      </w:r>
      <w:r w:rsidR="00DD67F6">
        <w:t>(</w:t>
      </w:r>
      <w:r w:rsidR="00C7674C">
        <w:t xml:space="preserve"> pp.3-4).</w:t>
      </w:r>
      <w:r w:rsidR="007663B5">
        <w:t xml:space="preserve"> Also the Great War of 1914-18 had intensified the action of these secularising forces. Many thinkers agreed with Knox’s assertion here, but others saw the effects of the war as ambivalent, at times strengthening faith (no-one was an atheist in the trenches, it was commonly said), but also engendering doubt in other minds (why did God allow such</w:t>
      </w:r>
      <w:r w:rsidR="00D778FB">
        <w:t xml:space="preserve"> suffering? Why had the churches been so blatantly patriotic?)</w:t>
      </w:r>
    </w:p>
    <w:p w:rsidR="00DD67F6" w:rsidRDefault="00032F0E" w:rsidP="0057481B">
      <w:r>
        <w:t xml:space="preserve">Knox also saw one effect of biblical </w:t>
      </w:r>
      <w:r w:rsidR="000A7332">
        <w:t xml:space="preserve">historical </w:t>
      </w:r>
      <w:r>
        <w:t xml:space="preserve">studies – the new biblical criticism – as weakening simple faith in the bible. Clerics had abandoned the simple notion that the bible was literal truth (hard enough to maintain, given the contradictions, ambiguities and historical improbabilities that biblical scholars were uncovering). People filled in the gaps “with spiritual guess-work of their own. </w:t>
      </w:r>
      <w:r>
        <w:lastRenderedPageBreak/>
        <w:t>And this bred in us an itch for private theologies…if it was every man for himself, why should we not plunge into the fray?</w:t>
      </w:r>
      <w:r w:rsidR="00DD67F6">
        <w:t>”</w:t>
      </w:r>
      <w:r>
        <w:t xml:space="preserve"> Knox traced this tendency back to the Christian schisms caused by the Reformation: “Nothing is more characteristic of the Reformation period than the outbreak of amateur theologies which was occasioned by the disintegration of religion in Europe</w:t>
      </w:r>
      <w:r w:rsidR="00353E07">
        <w:t xml:space="preserve">…. </w:t>
      </w:r>
      <w:proofErr w:type="gramStart"/>
      <w:r w:rsidR="00353E07">
        <w:t>The old notion of a teaching Church had been abandoned” (p.5).</w:t>
      </w:r>
      <w:proofErr w:type="gramEnd"/>
    </w:p>
    <w:p w:rsidR="002A32C2" w:rsidRDefault="00A302AA" w:rsidP="0057481B">
      <w:r>
        <w:t xml:space="preserve">Knox was in a long-standing Christian tradition which held that reason and faith were not only compatible, but necessarily interweaved: “It is our duty, and our first duty, to accept any truth which demonstrates itself convincingly to reason” (p.52). The churches had to accept factual truths, whether demonstrated by science, history, or whatever. But there were signs that unreason and gullibility were taking hold </w:t>
      </w:r>
      <w:r w:rsidR="00DD67F6">
        <w:t>alongside</w:t>
      </w:r>
      <w:r>
        <w:t xml:space="preserve"> rising secularism. Knox once wrote satirically that we seemed to be passing into a condition that might be described as the Higher Cretinism (rather than the Higher Criticism of bible studies). He opposed popular cults and pseudo-religious fads that relied upon vague “intu</w:t>
      </w:r>
      <w:r w:rsidR="00DE618E">
        <w:t>i</w:t>
      </w:r>
      <w:r>
        <w:t>tion</w:t>
      </w:r>
      <w:r w:rsidR="00DE618E">
        <w:t xml:space="preserve">” or mystical feelings, </w:t>
      </w:r>
      <w:r w:rsidR="00DD67F6" w:rsidRPr="00DD67F6">
        <w:rPr>
          <w:i/>
        </w:rPr>
        <w:t xml:space="preserve">ersatz </w:t>
      </w:r>
      <w:r w:rsidR="00DD67F6">
        <w:t xml:space="preserve">religions </w:t>
      </w:r>
      <w:r w:rsidR="00DE618E">
        <w:t>that were anti-intellectual</w:t>
      </w:r>
      <w:r w:rsidR="002A32C2">
        <w:t>: “A kind of mystical eclecticism has become fashionable” (p.68).</w:t>
      </w:r>
      <w:r w:rsidR="00DB19BF">
        <w:t xml:space="preserve"> At one point he described such fads as “bargain-basement eschatology which can lull our terrors without for a moment inspiring our consciences” (p.185).</w:t>
      </w:r>
    </w:p>
    <w:p w:rsidR="00032F0E" w:rsidRDefault="00DE618E" w:rsidP="0057481B">
      <w:r>
        <w:t xml:space="preserve"> The modern world, in Knox’s opinion, was “brain-shy”. It disliked the doctrines of the church essentially because they demanded “a real exercise of the speculative intellect” (p.53). He accused most of the “symposiasts” of being hypocritical. They asserted that organised religion was unreasonable –without bothering to master the doctrines behind Church beliefs – and then assert</w:t>
      </w:r>
      <w:r w:rsidR="00DD67F6">
        <w:t>ed</w:t>
      </w:r>
      <w:r>
        <w:t xml:space="preserve"> their own unreasoned intuitions. Give me an outspoken atheist such as Bertrand Russell any day, he said.</w:t>
      </w:r>
    </w:p>
    <w:p w:rsidR="00DD67F6" w:rsidRPr="00FE6910" w:rsidRDefault="00FE6910" w:rsidP="0057481B">
      <w:r>
        <w:t xml:space="preserve">Knox looks at a number of his authors, including Arnold Bennett, Hugh Walpole, Conan Doyle, Henry Arthur Jones, Phillips Oppenheim and Rebecca West, and concludes: “I would say that we are suffering from a kind of claustrophobia, which breaks away from institutional religions and from the creeds by which institutional religions live, not because it does not believe in them, but because it does not </w:t>
      </w:r>
      <w:r>
        <w:rPr>
          <w:i/>
        </w:rPr>
        <w:t>want</w:t>
      </w:r>
      <w:r>
        <w:t xml:space="preserve"> to believe in them. It will accept, for example, the existence of God only if it can feel that this is a personal discovery, not anything that was taught, not anything that was handed down” (p.29). The handing down of traditional creeds is equated with a denial of religious freedom</w:t>
      </w:r>
      <w:r w:rsidR="007D4B90">
        <w:t>. Yet religious freedom has been widely accepted in the western world, so why the virtual paranoia about religious persecution (most notably in England attributed to Catholics)? Knox put it down to “a hallucination” incidental to the spiritual claustrophobia he had described.</w:t>
      </w:r>
      <w:r w:rsidR="009B34A8">
        <w:t xml:space="preserve"> There had grown up almost a “conspiracy-mania” about the teaching of religion: “…it has no roots in common sense or in logic. We have made a dogma of dogmatism, we have a creed of creedlessness, and our protest against formulas is, in this age of catchwords, the most stereotyped formula of the lot” (p.34).</w:t>
      </w:r>
    </w:p>
    <w:p w:rsidR="0054728C" w:rsidRDefault="002011FA" w:rsidP="0057481B">
      <w:r>
        <w:t xml:space="preserve">Ronald also warned against a breakdown of morals if Christianity was abandoned. He took the problematic view that Victorian agnosticism was optimistic about the workability of secular ethics. </w:t>
      </w:r>
      <w:r w:rsidR="006A7681">
        <w:t xml:space="preserve">(T. H. Huxley for one had doubts). </w:t>
      </w:r>
      <w:r>
        <w:t>His symposiasts</w:t>
      </w:r>
      <w:r w:rsidR="0054728C">
        <w:t xml:space="preserve"> inclined to this opinion:</w:t>
      </w:r>
    </w:p>
    <w:p w:rsidR="0054728C" w:rsidRDefault="0054728C" w:rsidP="0057481B">
      <w:r>
        <w:t xml:space="preserve">“They make the old Victorian assumption, which in our times has patently broken down, that you can obliterate the religious beliefs of a nation without affecting its standards of morality. Ideally of course you can; ideally the pagan has the same ethical duties as the Christian. But in practice, after so many centuries of identification, religion and morals are deeply interconnected. And the plain fact </w:t>
      </w:r>
      <w:r>
        <w:lastRenderedPageBreak/>
        <w:t xml:space="preserve">is that whereas our fathers asked themselves whether the creed was true, their sons are asking whether the Ten Commandments matter” (pp.133-134). </w:t>
      </w:r>
    </w:p>
    <w:p w:rsidR="006A7681" w:rsidRDefault="00CF4DF8" w:rsidP="0057481B">
      <w:r>
        <w:t>Knox saw many signs of moral decline. For a Catholic there was a worrying incidence of suicide, divorce and sexual promiscuity during the Jazz Age 1920s</w:t>
      </w:r>
      <w:r w:rsidR="002D2671">
        <w:t xml:space="preserve">. He asked “… is it not to be feared (even if we had no independent evidence) that our moral tone in sexual matters is positively deteriorating?” (p. 137). Other Catholic writers, such as </w:t>
      </w:r>
      <w:r w:rsidR="00DF7268">
        <w:t xml:space="preserve">G. K. </w:t>
      </w:r>
      <w:r w:rsidR="002D2671">
        <w:t>Chesterton and Hilaire Belloc, wrote along the same lines.</w:t>
      </w:r>
      <w:r w:rsidR="006A7681">
        <w:t xml:space="preserve"> We live, </w:t>
      </w:r>
      <w:r w:rsidR="00D17EA9">
        <w:t>concluded</w:t>
      </w:r>
      <w:r w:rsidR="006A7681">
        <w:t xml:space="preserve"> Knox gloomily, in “a neurotic </w:t>
      </w:r>
      <w:proofErr w:type="gramStart"/>
      <w:r w:rsidR="00D17EA9">
        <w:t>age,</w:t>
      </w:r>
      <w:proofErr w:type="gramEnd"/>
      <w:r w:rsidR="006A7681">
        <w:t xml:space="preserve"> and an age debauched by literature” (p.169).</w:t>
      </w:r>
      <w:r w:rsidR="00D17EA9">
        <w:t xml:space="preserve"> </w:t>
      </w:r>
      <w:r w:rsidR="006A7681">
        <w:t xml:space="preserve">No doubt he had writers like D. H. Lawrence in mind </w:t>
      </w:r>
      <w:r w:rsidR="00D17EA9">
        <w:t>(T. S. Eliot, perversely, saw Lawrence as essentially a Puritan!)</w:t>
      </w:r>
    </w:p>
    <w:p w:rsidR="00743ADB" w:rsidRDefault="007654C1" w:rsidP="0057481B">
      <w:r>
        <w:t xml:space="preserve">The final chapter of </w:t>
      </w:r>
      <w:r>
        <w:rPr>
          <w:i/>
        </w:rPr>
        <w:t>Caliban in Grub Street</w:t>
      </w:r>
      <w:r w:rsidR="005712CC">
        <w:t xml:space="preserve"> is called “Religion and the Future”. Like others at the time Ronald Knox is not very sanguine about a Christian future. If there was to be one, he pictures it to be uncomfortable and demanding, not easy and gently humanitarian or wishy-washy, as he saw present religious tendencies. It would have a </w:t>
      </w:r>
      <w:r w:rsidR="00687401">
        <w:t xml:space="preserve">“strong </w:t>
      </w:r>
      <w:r w:rsidR="005712CC">
        <w:t>theology</w:t>
      </w:r>
      <w:r w:rsidR="00687401">
        <w:t xml:space="preserve"> of sin” and would keep “eschatological terrors” in the foreground. It was not a theology aimed to please the current generation, a sort of public relations exercise, but a tough ask, something based on the harsh realities of the </w:t>
      </w:r>
      <w:r w:rsidR="00982E68">
        <w:t xml:space="preserve">human condition, as he saw them: “…we cannot feel any respect for a religion which does not demand more of us than we feel we want to give”. Nor could we rest content “merely to sanction the current ethical ideas </w:t>
      </w:r>
      <w:r w:rsidR="00C63612">
        <w:t xml:space="preserve">of our time, telling us to be honest and sincere and peace-loving, to refrain from back-biting and from cruelty to others. Religion must take command; it will not play second fiddle to utilitarian ethics” (p.212). </w:t>
      </w:r>
    </w:p>
    <w:p w:rsidR="00687401" w:rsidRDefault="00C65637" w:rsidP="0057481B">
      <w:r>
        <w:t>Knox speaks of “the decayed matter of our modern theologies”.  This was rather severe, given the considerable theological ferment of the time. But he was on the side of the traditionalists against the new theologies. What was he against?  The answer: “… the tendency to whittle away the content of Christian doctrine, eliminating more and more the miraculous and the supernatural from the pulpit; abandoning the partial rule of faith which the Bible once gave, and replacing it by some vague standard miscalled ‘the authority of the Church’, which changes and weakens with every decade” (pp. 216-217).</w:t>
      </w:r>
    </w:p>
    <w:p w:rsidR="00B012C1" w:rsidRDefault="00687401" w:rsidP="0057481B">
      <w:r>
        <w:t>Would a “new revelation” even be Christian? Knox believed so. It is worth quoting him at some length:</w:t>
      </w:r>
      <w:r w:rsidR="002011FA">
        <w:t xml:space="preserve"> </w:t>
      </w:r>
      <w:r w:rsidR="00C7674C">
        <w:t xml:space="preserve"> </w:t>
      </w:r>
      <w:r w:rsidR="007654C1">
        <w:t xml:space="preserve">    </w:t>
      </w:r>
    </w:p>
    <w:p w:rsidR="00687401" w:rsidRDefault="00687401" w:rsidP="0057481B">
      <w:r>
        <w:t>“The history of the connexion between Europe and Christendom is the history of a great romance; it is the kind of romance which leaves its mark permanently and destroys the capacity for other loves. There can be no revival of an earlier past; all the suggestions made for a return to paganism have been the affectations of a literary clique</w:t>
      </w:r>
      <w:r w:rsidR="00E556B0">
        <w:t xml:space="preserve">… Whether we were right or wrong to accept Christianity with Constantine, we crossed in that act our spiritual Rubicon, and there is no returning. In many countries, to be sure, it is only a faint memory of historical Christendom that survives…but however much we forget, we cannot recover our lost youth… False Christs and false prophets will arise, we are told, and will deceive many; but not many, I think, among the heirs of the old civilization… With whatever portents the new religion is heralded – and no religion ever yet went far that was not heralded by portents – we shall remember the old things, and balance them regretfully against the new.  </w:t>
      </w:r>
      <w:proofErr w:type="gramStart"/>
      <w:r w:rsidR="00E556B0">
        <w:t>Our bones are not young enough to accustom themselves to some new posture of worship; Christendom will suffice for us, and will outlive us” (pp.210-211).</w:t>
      </w:r>
      <w:proofErr w:type="gramEnd"/>
    </w:p>
    <w:p w:rsidR="00C83E75" w:rsidRDefault="00C83E75" w:rsidP="0057481B">
      <w:r>
        <w:rPr>
          <w:b/>
        </w:rPr>
        <w:lastRenderedPageBreak/>
        <w:t>Enthusiasm</w:t>
      </w:r>
    </w:p>
    <w:p w:rsidR="00ED073D" w:rsidRDefault="00C83E75" w:rsidP="0057481B">
      <w:r>
        <w:t xml:space="preserve">Ronald Knox’s book </w:t>
      </w:r>
      <w:r>
        <w:rPr>
          <w:i/>
        </w:rPr>
        <w:t>Enthusiasm</w:t>
      </w:r>
      <w:r>
        <w:t xml:space="preserve"> (1950) was one of his best known works. Whether it was widely, or closely read, is another matter, given that it dealt with religious figures, groups and heresies  whose names were hardly household names by the mid- twentieth century, names such as Montanists, Donatists, Albigenses, Jansenists, Quietism, Malaval, Petruci, Molinas, Madame Guyon, Convulsionaries and Moravians. </w:t>
      </w:r>
      <w:r w:rsidR="00ED073D">
        <w:t>Anabaptists and John Wesley were less obscure. The book was the product of a life’s research, into quite rare m</w:t>
      </w:r>
      <w:bookmarkStart w:id="0" w:name="_GoBack"/>
      <w:bookmarkEnd w:id="0"/>
      <w:r w:rsidR="00ED073D">
        <w:t>anuscripts, writings and archives, but it was not light bedside reading.</w:t>
      </w:r>
    </w:p>
    <w:p w:rsidR="00982E68" w:rsidRDefault="00ED073D" w:rsidP="0057481B">
      <w:r>
        <w:t xml:space="preserve">Nevertheless the phenomenon of </w:t>
      </w:r>
      <w:r>
        <w:rPr>
          <w:i/>
        </w:rPr>
        <w:t>enthusiasm</w:t>
      </w:r>
      <w:r>
        <w:t xml:space="preserve"> did have its quite lurid moments.</w:t>
      </w:r>
      <w:r w:rsidR="009B4CF4">
        <w:t xml:space="preserve"> It evoked scenes of mass hysteria, worshippers falling down into catatonic or epileptic-like fits, speaking in tongues, instant conversions</w:t>
      </w:r>
      <w:r w:rsidR="00A31C8C">
        <w:t>, claims of ecstatic closeness to a God who wiped away your sins, or, less happily, being possessed by the Devil or devil-spirits, even claims of being liberated from moral law (the heresy of “antinomianism”</w:t>
      </w:r>
      <w:r w:rsidR="00901E91">
        <w:t>)</w:t>
      </w:r>
      <w:r w:rsidR="00A31C8C">
        <w:t xml:space="preserve"> and instances of licentiousness and eroticism akin to medieval witchcraft orgies. Knox gives extensive treatment of such phenomena, quoting sources from Biblical times to the present day.</w:t>
      </w:r>
      <w:r w:rsidR="00BF1873">
        <w:t xml:space="preserve"> Most of </w:t>
      </w:r>
      <w:r w:rsidR="001821FF">
        <w:t>his</w:t>
      </w:r>
      <w:r w:rsidR="00BF1873">
        <w:t xml:space="preserve"> book is devoted to </w:t>
      </w:r>
      <w:r w:rsidR="001821FF">
        <w:t xml:space="preserve">the </w:t>
      </w:r>
      <w:r w:rsidR="00BF1873">
        <w:t>seventeenth and eighteenth centuries, the high point, in his opinion, of “enthusiasm”. There are chapters on St Paul and the Corinthians, the Montanists, and Donatists, two on the medieval period, then follow chapters on the Anabaptists, George Fox and Quakerism, Jansenism</w:t>
      </w:r>
      <w:r w:rsidR="00027144">
        <w:t xml:space="preserve">, </w:t>
      </w:r>
      <w:r w:rsidR="00BF1873">
        <w:t xml:space="preserve">Quietism </w:t>
      </w:r>
      <w:r w:rsidR="00027144">
        <w:t xml:space="preserve"> and  the Quietist controversies of the 1670s and 1680s,</w:t>
      </w:r>
      <w:r w:rsidR="00BF1873">
        <w:t xml:space="preserve"> the French Prophets,</w:t>
      </w:r>
      <w:r w:rsidR="001821FF">
        <w:t xml:space="preserve"> t</w:t>
      </w:r>
      <w:r w:rsidR="00BF1873">
        <w:t>he Convulsionaries of Saint-M</w:t>
      </w:r>
      <w:r w:rsidR="00027144">
        <w:rPr>
          <w:rFonts w:cstheme="minorHAnsi"/>
        </w:rPr>
        <w:t>é</w:t>
      </w:r>
      <w:r w:rsidR="00BF1873">
        <w:t>dard</w:t>
      </w:r>
      <w:r w:rsidR="001821FF">
        <w:t xml:space="preserve"> and the Moravians. Four chapters are devoted to a man Knox became obsessed with and researched deeply: John Wesley</w:t>
      </w:r>
      <w:r w:rsidR="00D74B17">
        <w:t>,</w:t>
      </w:r>
      <w:r w:rsidR="001821FF">
        <w:t xml:space="preserve"> and his followers. The death of Wesley is virtually the end point of his narrative, although he adds final essays on “Some Vagaries of Modern Revivalism” and “The Philosophy of Enthusiasm”.</w:t>
      </w:r>
    </w:p>
    <w:p w:rsidR="00901E91" w:rsidRDefault="00901E91" w:rsidP="0057481B">
      <w:r>
        <w:t xml:space="preserve">The term “enthusiasm” would have been familiar to eighteenth and nineteen century Britain and America. It was applied to a multitude of religious sects that sprang up after the Reformation. It was a pejorative term, applied to those you disapproved of, those dissenting from historic Christian doctrines, </w:t>
      </w:r>
      <w:r w:rsidR="005C1DBA">
        <w:t>those</w:t>
      </w:r>
      <w:r>
        <w:t xml:space="preserve"> who seemed to threaten the established churches, those who were seen as extremists and hysterics, possible unhinged or lunatic, the crazy wing of Christianity.</w:t>
      </w:r>
      <w:r w:rsidR="003C262A">
        <w:t xml:space="preserve"> But i</w:t>
      </w:r>
      <w:r w:rsidR="00D726E7">
        <w:t>t</w:t>
      </w:r>
      <w:r w:rsidR="003C262A">
        <w:t xml:space="preserve"> also could be applied to more mainstream movements such as Wesleyan Methodists, and all those who tended to downplay or reject reason in favour of passion and emotion, to downplay traditional theology in favour of individual readings of the bible and direct prayer to God without recours</w:t>
      </w:r>
      <w:r w:rsidR="00F82380">
        <w:t>e to clerics. But enthusiasm did</w:t>
      </w:r>
      <w:r w:rsidR="003C262A">
        <w:t xml:space="preserve"> have its own saints and seers, inspirational men and women who were regarded by their fervent followers, and often by themselves, as near (if not) “divine”, Christ-like figures. </w:t>
      </w:r>
      <w:r w:rsidR="00507560">
        <w:t>The great revivalist preachers of the time were such people.</w:t>
      </w:r>
    </w:p>
    <w:p w:rsidR="004D76B1" w:rsidRDefault="00D726E7" w:rsidP="0057481B">
      <w:r>
        <w:t>Ronald</w:t>
      </w:r>
      <w:r w:rsidR="004D76B1">
        <w:t xml:space="preserve"> gives an account of his thirty year obsession with “The Book”. Writing in the third person he says:</w:t>
      </w:r>
    </w:p>
    <w:p w:rsidR="004D76B1" w:rsidRDefault="004D76B1" w:rsidP="0057481B">
      <w:r>
        <w:t xml:space="preserve">“The Book was what mattered – he had lived with it all these years, fondled it in his waking thoughts, used it as an escape from anxiety, a solace in a long journey, in tedious conversations. Did he find himself in a library, he made straight for the shelves which promised light on one cherished subject; did he hit upon a telling quotation, </w:t>
      </w:r>
      <w:r w:rsidR="00F82380">
        <w:t>a</w:t>
      </w:r>
      <w:r>
        <w:t xml:space="preserve"> just metaphor, an adroit phrase, it was treasured up, in miser’s fashion, for The Book. The Book haunted his day-dreams like a guilty romance”.</w:t>
      </w:r>
    </w:p>
    <w:p w:rsidR="005F14DD" w:rsidRDefault="004D76B1" w:rsidP="0057481B">
      <w:r>
        <w:lastRenderedPageBreak/>
        <w:t>He adds an interesting insight</w:t>
      </w:r>
      <w:r w:rsidR="005F14DD">
        <w:t>.</w:t>
      </w:r>
      <w:r>
        <w:t xml:space="preserve"> The Book changed much from its original intentions. Knox became entranced by his “</w:t>
      </w:r>
      <w:r w:rsidR="005F14DD">
        <w:t>heretics” and their historical contexts. This often happens with historians. He writes:</w:t>
      </w:r>
    </w:p>
    <w:p w:rsidR="004D76B1" w:rsidRDefault="005F14DD" w:rsidP="0057481B">
      <w:r>
        <w:t>“Those [friends] who cherished the belief that I was writing a refutation of all the heresies must be prepared for a disappointment; I have only dealt with certain selected points of view, they were not exactly heresies, and I have not refuted them. To be sure, when the plan of the Book was first conceived, all those years ago it was to have been a broadside, a trumpet-blast, an end of controversy… here, I would say, is what happens inevitably, if once the principle of Catholic unity is lost! All this confusion, this priggishness, this pedantry this eccentricity and worse, follows directly from the rash step that takes you outside the fold of Peter! All my historical figures, Wesley himself included</w:t>
      </w:r>
      <w:r w:rsidR="00D65B7E">
        <w:t>, were to be a kind of rogues’ gallery, an awful warning against illuminism [as he sometimes called enthusiasm]. But somehow, in the writing, my whole treatment of the subject became different; the more you got to know the men, the more human did they become, for better or worse; you were more concerned to find out why they thought as they did than to prove it was wrong. The result, I am afraid, is a hotch-potch…”</w:t>
      </w:r>
      <w:r w:rsidR="00D65B7E">
        <w:rPr>
          <w:rStyle w:val="FootnoteReference"/>
        </w:rPr>
        <w:footnoteReference w:id="2"/>
      </w:r>
    </w:p>
    <w:p w:rsidR="00DB1182" w:rsidRDefault="005C1DBA" w:rsidP="0057481B">
      <w:r>
        <w:t xml:space="preserve">Knox </w:t>
      </w:r>
      <w:r w:rsidR="00D74B17">
        <w:t>starts with</w:t>
      </w:r>
      <w:r>
        <w:t xml:space="preserve"> the schismatics in the early church, early “enthusiasts”, those obsessed with fine theological distinctions,</w:t>
      </w:r>
      <w:r w:rsidR="00294755">
        <w:t xml:space="preserve"> devising heretical positions (such as denial of the trinity or the divinity of Christ), often feeling themselves under the direct guidance of the Holy Spirit,</w:t>
      </w:r>
      <w:r>
        <w:t xml:space="preserve"> perfectionists seeing sinfulness and worldly weakness in their fellow Christians, breaking off into cliques</w:t>
      </w:r>
      <w:r w:rsidR="00294755">
        <w:t>, “a hive ready to swarm… Almost always schism begets schism; once the instinct is lost, the movement breeds rival prophets and rival coteries, at the peril of its internal unity</w:t>
      </w:r>
      <w:r w:rsidR="00C45729">
        <w:t>. Always the first fervours evaporate; prophecy dies, and the charismatic is merged in the institutional” (p.1).  This is the pattern Knox sees, repeating itself from the time of St Paul, through the medieval heresies and the Reformation until the present.</w:t>
      </w:r>
      <w:r w:rsidR="00027144">
        <w:t xml:space="preserve">  Seeing right on both sides, Knox is concerned to trace the long-running secular conflict between what he calls the charismatic and the institutional. His aim is to indicate ways in which the church authorities might find “a tolerable adjustment” between the competing forces.</w:t>
      </w:r>
      <w:r w:rsidR="00573BD4">
        <w:t xml:space="preserve">       </w:t>
      </w:r>
    </w:p>
    <w:p w:rsidR="00CD7EA2" w:rsidRDefault="00CD7EA2" w:rsidP="0057481B">
      <w:r>
        <w:t>The following quote will give some idea of the “puritan” and anti-rationalist world-view of the “enthusiast”:</w:t>
      </w:r>
    </w:p>
    <w:p w:rsidR="00CD7EA2" w:rsidRDefault="00CD7EA2" w:rsidP="0057481B">
      <w:r>
        <w:t>“…he insists that the members of his society, saved members of a perishing world, should live a life of angelic purity, of apostolic simplicity… Every lapse that follows is marked by pitiless watchers outside the fold, creates a harvest of scandal within. Worse still, if the devout circle has cultivated a legend of its own impeccability; we shall be told, in that case, that actions which bring damnation to the worldling may be inculpable in the children of light. We must be prepared for strange alternations of rigorism and antinomianism as our history unfolds itself”. The enthusiast preaches a new approach to religion: “…hitherto this has been a matter of outward forms and ordinances, now it is an affair of the heart</w:t>
      </w:r>
      <w:r w:rsidR="008C5985">
        <w:t xml:space="preserve">. Sacraments are not necessarily dispensed with; but the emphasis lies on a direct personal access to the Author of our salvation, with little of intellectual background or of liturgical expression”.  Art and music are frowned upon: “An inward experience of peace and joy is both the assurance which the soul craves for and its characteristic prayer-attitude. The strength of </w:t>
      </w:r>
      <w:r w:rsidR="008C5985">
        <w:lastRenderedPageBreak/>
        <w:t>this personal approach is that it dominates the imagination, and presents a future world in all the colours of reality. Its weakness…is an anthropocentric bias; not God’s glory, but your own salvation preoccupies the mind, with some risk of scruples and even of despair”</w:t>
      </w:r>
      <w:r w:rsidR="009777F8">
        <w:t xml:space="preserve"> (p.2)</w:t>
      </w:r>
      <w:r w:rsidR="00C76A7E">
        <w:t>.</w:t>
      </w:r>
    </w:p>
    <w:p w:rsidR="008C5985" w:rsidRDefault="008C5985" w:rsidP="0057481B">
      <w:r>
        <w:t xml:space="preserve">We have here a “different theology of grace”. Grace has destroyed nature and replaced it with a higher scale of human faculties. </w:t>
      </w:r>
      <w:r w:rsidR="00C76A7E">
        <w:t>The enthusiasts decry the use of human reason as a guide to any sort of religious truth</w:t>
      </w:r>
      <w:r w:rsidR="009777F8">
        <w:rPr>
          <w:rStyle w:val="FootnoteReference"/>
        </w:rPr>
        <w:footnoteReference w:id="3"/>
      </w:r>
      <w:r w:rsidR="00C76A7E">
        <w:t xml:space="preserve">. By spurning reason, abandoning “Man’s miserable intellect, fatally obscured by the </w:t>
      </w:r>
      <w:proofErr w:type="gramStart"/>
      <w:r w:rsidR="00C76A7E">
        <w:t>Fall</w:t>
      </w:r>
      <w:proofErr w:type="gramEnd"/>
      <w:r w:rsidR="00C76A7E">
        <w:t>”, a direct indication of the divine will be granted to them (p.2).</w:t>
      </w:r>
    </w:p>
    <w:p w:rsidR="003A3658" w:rsidRDefault="003A3658" w:rsidP="0057481B">
      <w:r>
        <w:t xml:space="preserve">Other features tend to go alongside all this. One is a reluctance to give allegiance to the secular authorities (despite Jesus’s </w:t>
      </w:r>
      <w:r w:rsidR="00943095">
        <w:t>“</w:t>
      </w:r>
      <w:r>
        <w:t>give unto Caesar that which is Caesar’s</w:t>
      </w:r>
      <w:r w:rsidR="00943095">
        <w:t>”). God’s elect resent living cheek by jowl with “the sons of perdition”. They “claim another citizenship and own another allegiance… Always the enthusiast hankers after a theocracy”, in which the righteous bear rule openly. We think immediately of Calvin’s Swiss theocracy. Deprived of this hope, they will often set up their own utopian communities in the wilderness, as Cato did at Utica, or many sects did in nineteenth century America.</w:t>
      </w:r>
    </w:p>
    <w:p w:rsidR="00E04853" w:rsidRDefault="00245647" w:rsidP="0057481B">
      <w:r>
        <w:t>One could give many examples of bizarre behaviour by enthusiasts from the time of St Paul onwards. However here I will just give some examples that Knox quotes from the detailed and voluminous diaries of John Wesley. Wesley rode an estimated quarter of a million miles on horseback on his preaching tours, reading while a-horse and dutifully writing his diary most nights. He tried to be as exact and honest as possible in his observations, although, as Knox notes, subjectivity inevitably crept in where his deepest convictions were concerned. Wesley records an impressive number of eccentric, even grotesque, occurrences during his rousing sermons (often held outdoors in all parts of Britain), while other Wesleyites, such as Whitefield, report</w:t>
      </w:r>
      <w:r w:rsidR="00D726E7">
        <w:t>ed</w:t>
      </w:r>
      <w:r>
        <w:t xml:space="preserve"> </w:t>
      </w:r>
      <w:r w:rsidR="00E04853">
        <w:t xml:space="preserve">even </w:t>
      </w:r>
      <w:r>
        <w:t>higher numbers of such occurrences.</w:t>
      </w:r>
      <w:r w:rsidR="00E04853">
        <w:t xml:space="preserve"> Sceptics dismissed such phenomena as examples of hysteria, suggestion or even lunacy, but Wesley argued that these factors alone were insufficient to account for them. Knox tended to agree, and in effect suspended judgment, while not missing the opportunity to show his audience what deleterious effects can result from religious extremism.</w:t>
      </w:r>
    </w:p>
    <w:p w:rsidR="00E04853" w:rsidRDefault="00E04853" w:rsidP="0057481B">
      <w:r>
        <w:t>Here is Knox describing events</w:t>
      </w:r>
      <w:r w:rsidR="00837BB3">
        <w:t>, taking the descriptions from Wesley’s diary</w:t>
      </w:r>
      <w:r>
        <w:t>:</w:t>
      </w:r>
    </w:p>
    <w:p w:rsidR="0096195C" w:rsidRDefault="00E04853" w:rsidP="0057481B">
      <w:r>
        <w:t xml:space="preserve">“It was Bristol… that first witnessed in large numbers those instances of </w:t>
      </w:r>
      <w:r w:rsidR="00324836">
        <w:t>‘</w:t>
      </w:r>
      <w:proofErr w:type="spellStart"/>
      <w:r>
        <w:t>Shriekings</w:t>
      </w:r>
      <w:proofErr w:type="spellEnd"/>
      <w:r>
        <w:t xml:space="preserve">, Roarings, </w:t>
      </w:r>
      <w:proofErr w:type="spellStart"/>
      <w:r>
        <w:t>Groanings</w:t>
      </w:r>
      <w:proofErr w:type="spellEnd"/>
      <w:r>
        <w:t xml:space="preserve">, </w:t>
      </w:r>
      <w:proofErr w:type="spellStart"/>
      <w:r>
        <w:t>Gnashings</w:t>
      </w:r>
      <w:proofErr w:type="spellEnd"/>
      <w:r>
        <w:t xml:space="preserve">, </w:t>
      </w:r>
      <w:proofErr w:type="spellStart"/>
      <w:r>
        <w:t>Yellings</w:t>
      </w:r>
      <w:proofErr w:type="spellEnd"/>
      <w:r>
        <w:t xml:space="preserve">, </w:t>
      </w:r>
      <w:proofErr w:type="spellStart"/>
      <w:r>
        <w:t>Cursings</w:t>
      </w:r>
      <w:proofErr w:type="spellEnd"/>
      <w:r>
        <w:t>, Blasphemies</w:t>
      </w:r>
      <w:r w:rsidR="00324836">
        <w:t xml:space="preserve"> and </w:t>
      </w:r>
      <w:proofErr w:type="spellStart"/>
      <w:r w:rsidR="00324836">
        <w:t>Despairings</w:t>
      </w:r>
      <w:proofErr w:type="spellEnd"/>
      <w:r w:rsidR="00324836">
        <w:t xml:space="preserve">’ which so shocked Bishop Livingstone [in March 1739]. Little more than a week later [26/4/39], during a sermon at </w:t>
      </w:r>
      <w:proofErr w:type="spellStart"/>
      <w:r w:rsidR="00324836">
        <w:t>Newgate</w:t>
      </w:r>
      <w:proofErr w:type="spellEnd"/>
      <w:r w:rsidR="00324836">
        <w:t xml:space="preserve"> (Bristol), ‘one, and another, and another sunk to the earth; they dropped on every side as thunderstruck’. The same thing happened in the evening; ‘almost before we called upon him [Christ] to set his seal, he answered</w:t>
      </w:r>
      <w:r w:rsidR="00837BB3">
        <w:t>’</w:t>
      </w:r>
      <w:r w:rsidR="00324836">
        <w:t>; it will be noticed that by now a deliberate prayer-technique is used for the evocation of the symptoms”. Knox gives a summary of the manifestations: “There is a cry, or a roar; usually (not always) the afflicted person drops to the ground; you can see that he or she is something in the position of the demoniac</w:t>
      </w:r>
      <w:r w:rsidR="003B6B93">
        <w:t xml:space="preserve"> healed after the Transfiguration; Satan is letting his prey go, with the utmost reluctance. The bystanders fall to prayer; if there is no immediate deliverance the interrupter is carried out, and prayer goes on, often till late at night… in other cases of religious </w:t>
      </w:r>
      <w:r w:rsidR="003B6B93">
        <w:lastRenderedPageBreak/>
        <w:t>convulsions we are often told that it took so many strong men to hold the energumen down… Sometimes the interior struggles of these people who could not ‘find Christ’ were prolonged for several days…</w:t>
      </w:r>
      <w:r w:rsidR="00D726E7">
        <w:t>” (</w:t>
      </w:r>
      <w:r w:rsidR="003B6B93">
        <w:t>pp.</w:t>
      </w:r>
      <w:r w:rsidR="00D726E7">
        <w:t xml:space="preserve"> </w:t>
      </w:r>
      <w:r w:rsidR="003B6B93">
        <w:t>521-522).</w:t>
      </w:r>
    </w:p>
    <w:p w:rsidR="00A856A4" w:rsidRDefault="0096195C" w:rsidP="0057481B">
      <w:r>
        <w:t>Knox continues for the period around 1758: “Laughter is mentioned no less than four times as a characteristic index of ‘consolation’; Petty Jenkins ‘frequently laughed when she saw his glory’. Ann Thorn often lay in a trance for many hours together.</w:t>
      </w:r>
      <w:r w:rsidR="00676190">
        <w:t xml:space="preserve"> </w:t>
      </w:r>
      <w:r>
        <w:t>John Dennis prays aloud, in a trance</w:t>
      </w:r>
      <w:r w:rsidR="00837BB3">
        <w:t>:</w:t>
      </w:r>
      <w:r>
        <w:t xml:space="preserve"> ‘his prayer unfolded the whole Christian</w:t>
      </w:r>
      <w:r w:rsidR="003B6B93">
        <w:t xml:space="preserve"> </w:t>
      </w:r>
      <w:r>
        <w:t>system with great accuracy’, and when he came to he was unaware (as some of the Jansenist Convulsionaries were unaware) of having said anything. Meanwhile there was no lack of convincements in the approved manner. We hear of 200 people, mostly men, crying aloud for mercy at the same time. Thomas Skinner lies for some hours in an agony during which ‘the veins of his neck were swelled, as if ready to burst’…one of the reborn explains how ‘it seemed as if the Lord came upon him mightily, taking him by the neck and shaking</w:t>
      </w:r>
      <w:r w:rsidR="00676190">
        <w:t xml:space="preserve"> all his bones in pieces’. People fell to the ground, as a rule, not singly but in twos and threes; there might be as many as seven lying there together” (p. 528).</w:t>
      </w:r>
      <w:r w:rsidR="00324836">
        <w:t xml:space="preserve">  </w:t>
      </w:r>
      <w:r w:rsidR="00245647">
        <w:t xml:space="preserve">   </w:t>
      </w:r>
    </w:p>
    <w:p w:rsidR="0065475C" w:rsidRDefault="00D726E7" w:rsidP="0057481B">
      <w:r>
        <w:t>At Otley (near Leeds</w:t>
      </w:r>
      <w:r w:rsidR="009A634E">
        <w:t xml:space="preserve">) in 1760: </w:t>
      </w:r>
      <w:proofErr w:type="gramStart"/>
      <w:r w:rsidR="009A634E">
        <w:t>“</w:t>
      </w:r>
      <w:r w:rsidR="00E83941">
        <w:t xml:space="preserve"> ‘the</w:t>
      </w:r>
      <w:proofErr w:type="gramEnd"/>
      <w:r w:rsidR="00E83941">
        <w:t xml:space="preserve"> Holy Ghost made intercession in all that were present’ –this was a meeting of devout persons. ‘At length the travail of their souls burst out into loud and ardent cries… One cried out, in exceeding great agony, Lord, deliver me from my sinful nature … a second, with loud and dismal shrieks, I am in hell: O, save me, save me!... Thus they continued for the space of two hours.’…</w:t>
      </w:r>
      <w:r w:rsidR="004C5B94">
        <w:t xml:space="preserve"> </w:t>
      </w:r>
      <w:r w:rsidR="00E83941">
        <w:t>At Grimsby (’62) ‘all the gentry of the town were present; and so was our Lord in uncommon nature. Some dropped down as d</w:t>
      </w:r>
      <w:r w:rsidR="004C5B94">
        <w:t>ea</w:t>
      </w:r>
      <w:r w:rsidR="00E83941">
        <w:t>d…. One was carried away in violent fits. I went to her after the serv</w:t>
      </w:r>
      <w:r w:rsidR="004C5B94">
        <w:t>ice</w:t>
      </w:r>
      <w:r w:rsidR="00E83941">
        <w:t>. She was strongly convulsed from head to foot, and shrieked out in a dreadful manner. The unclean spirit</w:t>
      </w:r>
      <w:r w:rsidR="004C5B94">
        <w:t xml:space="preserve"> did tear her indeed, but his reign was not long</w:t>
      </w:r>
      <w:r w:rsidR="00837BB3">
        <w:t xml:space="preserve">’ </w:t>
      </w:r>
      <w:r w:rsidR="004C5B94">
        <w:t>” (p.531). And so on.</w:t>
      </w:r>
    </w:p>
    <w:p w:rsidR="00B97D65" w:rsidRDefault="000817CB" w:rsidP="0057481B">
      <w:r>
        <w:t>Knox goes on to discuss in some depth whether this phenomenon of “illuminism” seriously threatened the Wesley Revival; and just what were the shades of meaning and interpretation that Wesley gave to it (which varied, it must be said, significantly across the decades, although he refused to admit any inconsistencies in his stance). Knox asked</w:t>
      </w:r>
      <w:r w:rsidR="00837BB3">
        <w:t>:</w:t>
      </w:r>
      <w:r>
        <w:t xml:space="preserve"> “Did the high pressure at which [the revivalist meetings] were so often conducted embolden its devotees to claim private </w:t>
      </w:r>
      <w:r w:rsidR="00AB48F3">
        <w:t>inspirations, or the gift of prophecy?” (p.535).</w:t>
      </w:r>
      <w:r w:rsidR="00995C91">
        <w:t>Certainly he seemed to detect a correlation between the high intensity of the early movement, when there was “a certain atmosphere of Inner-Light mysticism about some of the leaders”, and a larger number of “illuminist” manifestations, although he admitted that his was hardly a scientific study.</w:t>
      </w:r>
      <w:r w:rsidR="002E3943">
        <w:t xml:space="preserve"> It was a time, Wesley believed, when “all our hearts were in a flame”. Knox analyses, to the best of his ability, what </w:t>
      </w:r>
      <w:r w:rsidR="008C7CAE">
        <w:t>was</w:t>
      </w:r>
      <w:r w:rsidR="002E3943">
        <w:t xml:space="preserve"> meant exactly when it was said that people had a </w:t>
      </w:r>
      <w:r w:rsidR="002E3943">
        <w:rPr>
          <w:i/>
        </w:rPr>
        <w:t>consciousness</w:t>
      </w:r>
      <w:r w:rsidR="002E3943">
        <w:t xml:space="preserve"> of new birth, an </w:t>
      </w:r>
      <w:r w:rsidR="002E3943">
        <w:rPr>
          <w:i/>
        </w:rPr>
        <w:t>experience</w:t>
      </w:r>
      <w:r w:rsidR="002E3943">
        <w:t xml:space="preserve"> of forgiveness of sins, a sudden </w:t>
      </w:r>
      <w:r w:rsidR="002E3943">
        <w:rPr>
          <w:i/>
        </w:rPr>
        <w:t>realisation</w:t>
      </w:r>
      <w:r w:rsidR="002E3943">
        <w:t xml:space="preserve"> of change</w:t>
      </w:r>
      <w:r w:rsidR="008C7CAE">
        <w:t xml:space="preserve">, of </w:t>
      </w:r>
      <w:r w:rsidR="008C7CAE">
        <w:rPr>
          <w:i/>
        </w:rPr>
        <w:t>knowing</w:t>
      </w:r>
      <w:r w:rsidR="008C7CAE">
        <w:t xml:space="preserve"> you were bound for heaven; and there was theological debate about deep issues such as the identification of grace with spiritual consolations, the remission of sins, the nature of righteousness and the doctrine of “sinless perfection” (very suspect). </w:t>
      </w:r>
    </w:p>
    <w:p w:rsidR="00AB48F3" w:rsidRDefault="00B97D65" w:rsidP="0057481B">
      <w:r>
        <w:t>Knox concluded about Wesleyan revivalism that, for better or worse, “the England which weathered the excitements and disappointments of the early nineteenth century was committed to a religion of experience; you did not base your hopes on this or that doctrinal calculation</w:t>
      </w:r>
      <w:r w:rsidR="00A71DD1">
        <w:t xml:space="preserve">; you </w:t>
      </w:r>
      <w:r w:rsidR="00A71DD1">
        <w:rPr>
          <w:i/>
        </w:rPr>
        <w:t>knew</w:t>
      </w:r>
      <w:r w:rsidR="00A71DD1">
        <w:t>. For tha</w:t>
      </w:r>
      <w:r w:rsidR="00D26805">
        <w:t>t reason the average Englishman was, and is, singularly unaffected by reasonings which would attempt to rob him of his theological certainties, whatever they may be. For that</w:t>
      </w:r>
      <w:r w:rsidR="00403F88">
        <w:t xml:space="preserve"> </w:t>
      </w:r>
      <w:r w:rsidR="00D26805">
        <w:t>reason</w:t>
      </w:r>
      <w:r w:rsidR="00403F88">
        <w:t>, also</w:t>
      </w:r>
      <w:r w:rsidR="00D26805">
        <w:t xml:space="preserve">, he expects much (perhaps too much) of his religion in the way of verified results; he is easily </w:t>
      </w:r>
      <w:r w:rsidR="00D26805">
        <w:lastRenderedPageBreak/>
        <w:t xml:space="preserve">disappointed if it does not run according to schedule. It must chime in with his moods, rise superior to his temptations; a decent average of special providences must convince him that it works. </w:t>
      </w:r>
      <w:proofErr w:type="gramStart"/>
      <w:r w:rsidR="00D26805">
        <w:t>Otherwise,</w:t>
      </w:r>
      <w:r w:rsidR="00403F88">
        <w:t xml:space="preserve"> </w:t>
      </w:r>
      <w:r w:rsidR="00D26805">
        <w:t>though</w:t>
      </w:r>
      <w:r w:rsidR="00403F88">
        <w:t xml:space="preserve"> </w:t>
      </w:r>
      <w:r w:rsidR="00D26805">
        <w:t>without</w:t>
      </w:r>
      <w:r w:rsidR="008C7CAE">
        <w:t xml:space="preserve"> </w:t>
      </w:r>
      <w:r w:rsidR="00D26805">
        <w:t>rancour, he abandons the practice of it”</w:t>
      </w:r>
      <w:r w:rsidR="00403F88">
        <w:t xml:space="preserve"> (</w:t>
      </w:r>
      <w:r w:rsidR="00D26805">
        <w:t>pp.547-548).</w:t>
      </w:r>
      <w:proofErr w:type="gramEnd"/>
    </w:p>
    <w:p w:rsidR="00A856A4" w:rsidRDefault="00AB48F3" w:rsidP="0057481B">
      <w:r>
        <w:t>We live</w:t>
      </w:r>
      <w:r w:rsidR="00403F88">
        <w:t xml:space="preserve"> now</w:t>
      </w:r>
      <w:r>
        <w:t xml:space="preserve">, of </w:t>
      </w:r>
      <w:r w:rsidR="00A856A4">
        <w:t xml:space="preserve">course, in an age of extremely strong and influential fundamentalism in the United States, of giant revivalist-style religious meetings, born-again movements, Pentecostalism sweeping from the US to other countries, such as South America and Africa. </w:t>
      </w:r>
      <w:r w:rsidR="005574FD">
        <w:t>Knox did not see this coming. His prophetic faculty was a bit wonky here. It is strange for us to read what he predicted in 1950: “…revivalism has shown a law of diminishing returns; each new wave, as it recedes, registers less of a high-water mark”. He speaks in terms of writing an epilogue, even a requiem, for enthusiasm</w:t>
      </w:r>
      <w:r w:rsidR="0035613A">
        <w:t>, of it being perhaps “a closed chapter in the history of religion” (p.578)</w:t>
      </w:r>
      <w:r w:rsidR="005574FD">
        <w:t>. He notes</w:t>
      </w:r>
      <w:r w:rsidR="0035613A">
        <w:t>, correctly,</w:t>
      </w:r>
      <w:r w:rsidR="005574FD">
        <w:t xml:space="preserve"> that revivalism in Britain </w:t>
      </w:r>
      <w:r w:rsidR="0035613A">
        <w:t xml:space="preserve">– such as that propagated by </w:t>
      </w:r>
      <w:r w:rsidR="0065475C">
        <w:t xml:space="preserve">evangelists like </w:t>
      </w:r>
      <w:r w:rsidR="0035613A">
        <w:t>Moody and Sankey</w:t>
      </w:r>
      <w:r w:rsidR="0065475C">
        <w:t xml:space="preserve"> in the nineteenth century </w:t>
      </w:r>
      <w:r w:rsidR="0035613A">
        <w:t xml:space="preserve">- </w:t>
      </w:r>
      <w:r w:rsidR="005574FD">
        <w:t>was largely a re-import from the US</w:t>
      </w:r>
      <w:r w:rsidR="0035613A">
        <w:t>. But he thinks that his own countrymen have become almost inoculated against it, and it is true that American fundamentalism has not flourished to nearly the same extent in Britain. Why? Knox speculates: “ Account for it how we will, by the less general diffusion of religious sentiment, by the decline of fundamentalism, by the modern educational outlook, by the influence of radio on oratorical technique, it is clear that our fellow countrymen are less susceptible, in these days, to the emotional appeal” (p.578).</w:t>
      </w:r>
    </w:p>
    <w:p w:rsidR="00670F54" w:rsidRDefault="00670F54" w:rsidP="0057481B">
      <w:r>
        <w:t>Issues such as this are discussed in his last chapter “The philosophy of Enthusiasm”. Much of the chapter is focussed on esoteric theological and historical issues: with Platonism</w:t>
      </w:r>
      <w:r w:rsidR="00C9295E">
        <w:t xml:space="preserve"> versus</w:t>
      </w:r>
      <w:r>
        <w:t xml:space="preserve"> Aristotelianism, St Augustine versus Pelagius, F</w:t>
      </w:r>
      <w:r>
        <w:rPr>
          <w:rFonts w:cstheme="minorHAnsi"/>
        </w:rPr>
        <w:t>é</w:t>
      </w:r>
      <w:r>
        <w:t>nelon versus</w:t>
      </w:r>
      <w:r w:rsidR="00B54956">
        <w:t xml:space="preserve"> </w:t>
      </w:r>
      <w:r>
        <w:t>Bossuet, Butler versus Wesley, predestination</w:t>
      </w:r>
      <w:r w:rsidR="00B54956">
        <w:t>,</w:t>
      </w:r>
      <w:r>
        <w:t xml:space="preserve"> supernaturalism, and so on. I do not intend to dip my toe into these deep waters, but I will try to summarise a few of the general conclusions that Knox makes about the subject he has scrutinised in such detail in The Book, “enthusiasm”. </w:t>
      </w:r>
    </w:p>
    <w:p w:rsidR="00027144" w:rsidRDefault="00C9295E" w:rsidP="0057481B">
      <w:r>
        <w:t xml:space="preserve">Throughout the book Knox documents the subversive ways in which enthusiasm undermines a key feature of Christianity. Traditional Christianity “is a balance of doctrines, and not merely of doctrines but of emphases. You must not exaggerate in either direction, or the balance is disturbed” (p.589). As we have seen, enthusiasm destroys the idea that both reason and emotion are </w:t>
      </w:r>
      <w:r w:rsidR="00A7386C">
        <w:t>God-given</w:t>
      </w:r>
      <w:r>
        <w:t>.</w:t>
      </w:r>
      <w:r w:rsidR="00A7386C">
        <w:t xml:space="preserve"> Knox sees this historically as a revolt of Platonism against the Aristotelianism that was a pil</w:t>
      </w:r>
      <w:r w:rsidR="00982496">
        <w:t>lar of traditional Christianity:</w:t>
      </w:r>
    </w:p>
    <w:p w:rsidR="00982496" w:rsidRDefault="00982496" w:rsidP="0057481B">
      <w:r>
        <w:t>“Your Platonist, satisfied that he has formed his notion of God without the aid of syllogisms or analogies, will divorce reason from religion…he is lo</w:t>
      </w:r>
      <w:r w:rsidR="00B54956">
        <w:t>a</w:t>
      </w:r>
      <w:r>
        <w:t>th</w:t>
      </w:r>
      <w:r w:rsidR="00B54956">
        <w:t xml:space="preserve"> </w:t>
      </w:r>
      <w:r>
        <w:t>to theologize. Correspondingly, in his prayer, he will use no images, no mental images even, as a ladder to reach the unseen; the God who reveals himself interiorly claims a wholly interior-worship as his right. Nor will this directness of access be merely one-sided; the soul’s immediate approach to God finds its counterpart in an immediate approach of God to the soul; he issues his commands to it, rev</w:t>
      </w:r>
      <w:r w:rsidR="0081121E">
        <w:t>e</w:t>
      </w:r>
      <w:r>
        <w:t>als his truth to it, without any apparatus</w:t>
      </w:r>
      <w:r w:rsidR="0081121E">
        <w:t xml:space="preserve"> of hierarchies or doctrinal confessions to do his work for him. Finally , since God</w:t>
      </w:r>
      <w:r w:rsidR="007F20A5">
        <w:t>,</w:t>
      </w:r>
      <w:r w:rsidR="0081121E">
        <w:t xml:space="preserve"> not man, is his point of departure, the Platonist will have God served for himself alone, not in any degree for the sake of man’s well-being….In a word he is theocentric; he quarrels with the theologian, for supposing that God can be known derivatively; he quarrels with the liturgist, for offering outward worship; he quarrels with Church authorities, for issuing Divine commands at secondhand; he quarrels with the missionary, for urging men to save their souls, when nothing really matters except the Divine will” (p. 579).</w:t>
      </w:r>
    </w:p>
    <w:p w:rsidR="00AC66BE" w:rsidRDefault="000F0740" w:rsidP="0057481B">
      <w:r>
        <w:lastRenderedPageBreak/>
        <w:t xml:space="preserve">Although the enthusiasts are generally united against reason, this doesn’t mean that they are united on much else. Knox explores the </w:t>
      </w:r>
      <w:r w:rsidR="00AD4BE7">
        <w:t xml:space="preserve">complex and often quite confusing </w:t>
      </w:r>
      <w:r>
        <w:t xml:space="preserve">points of difference between the multitudinous sects; between, for example, the Quakers and Quietists on one side and groups </w:t>
      </w:r>
      <w:r w:rsidR="00323910">
        <w:t>like</w:t>
      </w:r>
      <w:r>
        <w:t xml:space="preserve"> the Jansenists, Moravians and Methodists on the other</w:t>
      </w:r>
      <w:r w:rsidR="00AD4BE7">
        <w:t xml:space="preserve"> (the latter obsessed with soteriology, according to Knox). The mystics part company with the revivalists</w:t>
      </w:r>
      <w:r w:rsidR="00323910">
        <w:t>. T</w:t>
      </w:r>
      <w:r w:rsidR="00AD4BE7">
        <w:t>here are disputes all around about doctrines of grace, salvation, election, sin, the fall of man, and so on.</w:t>
      </w:r>
      <w:r w:rsidR="00D60C39">
        <w:t xml:space="preserve"> Can we </w:t>
      </w:r>
      <w:r w:rsidR="00AC66BE">
        <w:t>simplify the</w:t>
      </w:r>
      <w:r w:rsidR="00D60C39">
        <w:t xml:space="preserve"> </w:t>
      </w:r>
      <w:r w:rsidR="00AC66BE">
        <w:t>issues</w:t>
      </w:r>
      <w:r w:rsidR="00D60C39">
        <w:t>? Knox suggests a basic distinction between “mystical” and “evangelical”</w:t>
      </w:r>
      <w:r w:rsidR="00AC66BE">
        <w:t xml:space="preserve"> enthusiasm:</w:t>
      </w:r>
    </w:p>
    <w:p w:rsidR="00323910" w:rsidRDefault="00AC66BE" w:rsidP="0057481B">
      <w:r>
        <w:t xml:space="preserve">“One, taking its point of departure from the Incarnation, rather than the Atonement, by-passes the theology of grace and concentrates on the God within… The other, more acutely conscious of man’s fallen state, thinks always in terms of redemption; to know, somehow, that your sins are forgiven, that you are a new creature in God’s sight, </w:t>
      </w:r>
      <w:proofErr w:type="gramStart"/>
      <w:r>
        <w:t>is</w:t>
      </w:r>
      <w:proofErr w:type="gramEnd"/>
      <w:r>
        <w:t xml:space="preserve"> all that matters….  </w:t>
      </w:r>
      <w:proofErr w:type="gramStart"/>
      <w:r>
        <w:t>Either tendency can be a signpost to the morass” (p. 581).</w:t>
      </w:r>
      <w:proofErr w:type="gramEnd"/>
      <w:r>
        <w:t xml:space="preserve"> </w:t>
      </w:r>
    </w:p>
    <w:p w:rsidR="00C25AC8" w:rsidRDefault="00AC66BE" w:rsidP="0057481B">
      <w:r>
        <w:t xml:space="preserve">Either can lead the enthusiast to abrogate moral responsibility, and can </w:t>
      </w:r>
      <w:r w:rsidR="007F20A5">
        <w:t>lead</w:t>
      </w:r>
      <w:r>
        <w:t>, in extreme cases, to unthinkable atrocities</w:t>
      </w:r>
      <w:r w:rsidR="00844907">
        <w:t>, the perpetrators regarding themselves as above all human laws. Not uncommonly, such theology leads to political activism, even revolt. Knox cites</w:t>
      </w:r>
      <w:r w:rsidR="00FA0E8F">
        <w:t xml:space="preserve"> John </w:t>
      </w:r>
      <w:r w:rsidR="00844907">
        <w:t>Wyclif</w:t>
      </w:r>
      <w:r w:rsidR="00FA0E8F">
        <w:t>fe</w:t>
      </w:r>
      <w:r w:rsidR="00844907">
        <w:t xml:space="preserve">, </w:t>
      </w:r>
      <w:r w:rsidR="00FA0E8F">
        <w:t xml:space="preserve">Jan </w:t>
      </w:r>
      <w:r w:rsidR="00844907">
        <w:t>Huss, the Lollards, and the Anabaptists.</w:t>
      </w:r>
      <w:r w:rsidR="00323910">
        <w:t xml:space="preserve"> </w:t>
      </w:r>
      <w:r w:rsidR="00C25AC8">
        <w:t>Even in the sphere of everyday life, Knox sees enthusiasm as likely to encourage ill-considered or imprudent social behaviour. People act according to instinct or to “the light” within them. Knox doubts that this is an enviable characteristic:</w:t>
      </w:r>
    </w:p>
    <w:p w:rsidR="003630D2" w:rsidRDefault="00C25AC8" w:rsidP="0057481B">
      <w:r>
        <w:t>“That there should be a few people, close friends of God, who seem to live by instinct and by-pass calculation, is well enough; even the common run of us may experience, n</w:t>
      </w:r>
      <w:r w:rsidR="00323910">
        <w:t xml:space="preserve">ow and again, a flash of intuition which seemed akin to inspiration. But when a whole sect aspires to be spoon-fed with providential guidance, such as makes all deliberation, all effort of decision, henceforth unnecessary, there is ground for misgiving. Our mental powers also are from God; to write these off as hopelessly corrupted by the </w:t>
      </w:r>
      <w:proofErr w:type="gramStart"/>
      <w:r w:rsidR="00323910">
        <w:t>Fall</w:t>
      </w:r>
      <w:proofErr w:type="gramEnd"/>
      <w:r w:rsidR="00323910">
        <w:t xml:space="preserve"> is an extravagance quite unwarranted by the Christian tradition. To live by, and for, a series of supposedly Divine communications is, too commonly, to cultivate an unhealthy state of mind, avid of portents and ill protected from the inroads of superstition” (p. 587).</w:t>
      </w:r>
    </w:p>
    <w:p w:rsidR="000F0740" w:rsidRPr="00D0055E" w:rsidRDefault="003630D2" w:rsidP="0057481B">
      <w:r>
        <w:t>Knox concludes with a k</w:t>
      </w:r>
      <w:r w:rsidR="00C11EB9">
        <w:t>indly word about the enthusiasm: “… my aim is to interpret enthusiasm, not to criticize it. If we would interpret it rightly, there is one point that must be seized upon above all the rest – in itself enthusiasm is not a wrong tendency but a false emphasis” (p.590). It was widespread, including</w:t>
      </w:r>
      <w:r w:rsidR="00844907">
        <w:t xml:space="preserve"> </w:t>
      </w:r>
      <w:r w:rsidR="00C11EB9">
        <w:t>many Catholics in history. Whether Catholic, Protestant or whatever, fundamentally they ha</w:t>
      </w:r>
      <w:r w:rsidR="007060DE">
        <w:t>ve</w:t>
      </w:r>
      <w:r w:rsidR="00C11EB9">
        <w:t xml:space="preserve"> the same point of departure</w:t>
      </w:r>
      <w:r w:rsidR="007F20A5">
        <w:t>,</w:t>
      </w:r>
      <w:r w:rsidR="00C11EB9">
        <w:t xml:space="preserve"> “a suspicion, not ignobly entertained, that a church in alliance with the world has unchurched itself”. Knox warned his own church that, despite her saints and great spirituality, there was always the danger that “where wealth abounds, it is easy to mistake shadow for substance; the fires of spirituality may burn low, and we go on unconscious, dazzled by the glare of tinsel suns. How nearly we thought we could do without St. Francis, without St. Ignati</w:t>
      </w:r>
      <w:r w:rsidR="007060DE">
        <w:t>us! Men will not live without vision; that moral we do well to carry away with us from contemplating, in so many strange forms, the record of the visionaries (pp. 590-591).</w:t>
      </w:r>
      <w:r w:rsidR="00AD4BE7">
        <w:t xml:space="preserve">    </w:t>
      </w:r>
    </w:p>
    <w:sectPr w:rsidR="000F0740" w:rsidRPr="00D0055E">
      <w:footerReference w:type="default" r:id="rId8"/>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6C73" w:rsidRDefault="00056C73" w:rsidP="007A0EB6">
      <w:pPr>
        <w:spacing w:after="0" w:line="240" w:lineRule="auto"/>
      </w:pPr>
      <w:r>
        <w:separator/>
      </w:r>
    </w:p>
  </w:endnote>
  <w:endnote w:type="continuationSeparator" w:id="0">
    <w:p w:rsidR="00056C73" w:rsidRDefault="00056C73" w:rsidP="007A0E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1723792"/>
      <w:docPartObj>
        <w:docPartGallery w:val="Page Numbers (Bottom of Page)"/>
        <w:docPartUnique/>
      </w:docPartObj>
    </w:sdtPr>
    <w:sdtEndPr>
      <w:rPr>
        <w:noProof/>
      </w:rPr>
    </w:sdtEndPr>
    <w:sdtContent>
      <w:p w:rsidR="00977904" w:rsidRDefault="00977904">
        <w:pPr>
          <w:pStyle w:val="Footer"/>
          <w:jc w:val="center"/>
        </w:pPr>
        <w:r>
          <w:fldChar w:fldCharType="begin"/>
        </w:r>
        <w:r>
          <w:instrText xml:space="preserve"> PAGE   \* MERGEFORMAT </w:instrText>
        </w:r>
        <w:r>
          <w:fldChar w:fldCharType="separate"/>
        </w:r>
        <w:r w:rsidR="00DF7268">
          <w:rPr>
            <w:noProof/>
          </w:rPr>
          <w:t>4</w:t>
        </w:r>
        <w:r>
          <w:rPr>
            <w:noProof/>
          </w:rPr>
          <w:fldChar w:fldCharType="end"/>
        </w:r>
      </w:p>
    </w:sdtContent>
  </w:sdt>
  <w:p w:rsidR="00977904" w:rsidRDefault="0097790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6C73" w:rsidRDefault="00056C73" w:rsidP="007A0EB6">
      <w:pPr>
        <w:spacing w:after="0" w:line="240" w:lineRule="auto"/>
      </w:pPr>
      <w:r>
        <w:separator/>
      </w:r>
    </w:p>
  </w:footnote>
  <w:footnote w:type="continuationSeparator" w:id="0">
    <w:p w:rsidR="00056C73" w:rsidRDefault="00056C73" w:rsidP="007A0EB6">
      <w:pPr>
        <w:spacing w:after="0" w:line="240" w:lineRule="auto"/>
      </w:pPr>
      <w:r>
        <w:continuationSeparator/>
      </w:r>
    </w:p>
  </w:footnote>
  <w:footnote w:id="1">
    <w:p w:rsidR="00FA6036" w:rsidRPr="00FA6036" w:rsidRDefault="00FA6036">
      <w:pPr>
        <w:pStyle w:val="FootnoteText"/>
      </w:pPr>
      <w:r>
        <w:rPr>
          <w:rStyle w:val="FootnoteReference"/>
        </w:rPr>
        <w:footnoteRef/>
      </w:r>
      <w:r>
        <w:t xml:space="preserve"> Ronald Knox, </w:t>
      </w:r>
      <w:r>
        <w:rPr>
          <w:i/>
        </w:rPr>
        <w:t>Caliban in Grub Street</w:t>
      </w:r>
      <w:r>
        <w:t xml:space="preserve"> (London, Sheed and Ward, 1930), p.18. Following quotes in the text are from this source.</w:t>
      </w:r>
    </w:p>
  </w:footnote>
  <w:footnote w:id="2">
    <w:p w:rsidR="00D65B7E" w:rsidRPr="00D65B7E" w:rsidRDefault="00D65B7E">
      <w:pPr>
        <w:pStyle w:val="FootnoteText"/>
      </w:pPr>
      <w:r>
        <w:rPr>
          <w:rStyle w:val="FootnoteReference"/>
        </w:rPr>
        <w:footnoteRef/>
      </w:r>
      <w:r>
        <w:t xml:space="preserve"> Ronald Knox, </w:t>
      </w:r>
      <w:r>
        <w:rPr>
          <w:i/>
        </w:rPr>
        <w:t xml:space="preserve">Enthusiasm: A Chapter </w:t>
      </w:r>
      <w:proofErr w:type="gramStart"/>
      <w:r w:rsidR="00D21491">
        <w:rPr>
          <w:i/>
        </w:rPr>
        <w:t>I</w:t>
      </w:r>
      <w:r>
        <w:rPr>
          <w:i/>
        </w:rPr>
        <w:t>n The History Of</w:t>
      </w:r>
      <w:proofErr w:type="gramEnd"/>
      <w:r>
        <w:rPr>
          <w:i/>
        </w:rPr>
        <w:t xml:space="preserve"> Religion</w:t>
      </w:r>
      <w:r w:rsidR="00D21491">
        <w:rPr>
          <w:i/>
        </w:rPr>
        <w:t>:</w:t>
      </w:r>
      <w:r w:rsidR="00A856A4">
        <w:rPr>
          <w:i/>
        </w:rPr>
        <w:t xml:space="preserve"> </w:t>
      </w:r>
      <w:r w:rsidR="001821FF">
        <w:rPr>
          <w:i/>
        </w:rPr>
        <w:t>with</w:t>
      </w:r>
      <w:r w:rsidR="00A856A4">
        <w:rPr>
          <w:i/>
        </w:rPr>
        <w:t xml:space="preserve"> </w:t>
      </w:r>
      <w:r w:rsidR="001821FF">
        <w:rPr>
          <w:i/>
        </w:rPr>
        <w:t>special reference to the XVII and XVIII centuries</w:t>
      </w:r>
      <w:r w:rsidR="00A856A4">
        <w:rPr>
          <w:i/>
        </w:rPr>
        <w:t xml:space="preserve"> </w:t>
      </w:r>
      <w:r>
        <w:t>(Clarendon Press, Oxford, 1950),</w:t>
      </w:r>
      <w:r w:rsidR="00DB1182">
        <w:t xml:space="preserve"> </w:t>
      </w:r>
      <w:r>
        <w:t>pp. v-vi</w:t>
      </w:r>
      <w:r w:rsidR="00DB1182">
        <w:t xml:space="preserve"> (preface </w:t>
      </w:r>
      <w:r>
        <w:t>entitled “To Evelyn Waugh”, his friend).</w:t>
      </w:r>
      <w:r w:rsidR="00DB1182">
        <w:t xml:space="preserve"> Following page references in the text are to this source.</w:t>
      </w:r>
    </w:p>
  </w:footnote>
  <w:footnote w:id="3">
    <w:p w:rsidR="009777F8" w:rsidRDefault="009777F8">
      <w:pPr>
        <w:pStyle w:val="FootnoteText"/>
      </w:pPr>
      <w:r>
        <w:rPr>
          <w:rStyle w:val="FootnoteReference"/>
        </w:rPr>
        <w:footnoteRef/>
      </w:r>
      <w:r>
        <w:t xml:space="preserve"> Much later in the book Knox writes: “…when it comes to the point it is commonly a straight issue between a man’s higher reason and his interior impression; the appeal is from Philip drunk to Philip sober…reason may be quickly dethroned, under the label of intellectual pride”. In the long run for Knox, </w:t>
      </w:r>
      <w:r w:rsidR="00A856A4">
        <w:t xml:space="preserve">and this is </w:t>
      </w:r>
      <w:r>
        <w:t xml:space="preserve">a continuing theme in his book, “the issue is between some kind of authority and unrestrained private judgement” (p. 577).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6F7D"/>
    <w:rsid w:val="000267EE"/>
    <w:rsid w:val="00027144"/>
    <w:rsid w:val="00032F0E"/>
    <w:rsid w:val="00056C73"/>
    <w:rsid w:val="000817CB"/>
    <w:rsid w:val="000A37B0"/>
    <w:rsid w:val="000A4CCA"/>
    <w:rsid w:val="000A7332"/>
    <w:rsid w:val="000B5AA5"/>
    <w:rsid w:val="000F0740"/>
    <w:rsid w:val="00153285"/>
    <w:rsid w:val="001606E4"/>
    <w:rsid w:val="001821FF"/>
    <w:rsid w:val="001F0A7B"/>
    <w:rsid w:val="002011FA"/>
    <w:rsid w:val="002068EE"/>
    <w:rsid w:val="00225CB0"/>
    <w:rsid w:val="00245647"/>
    <w:rsid w:val="00267C97"/>
    <w:rsid w:val="00294755"/>
    <w:rsid w:val="002A32C2"/>
    <w:rsid w:val="002D2671"/>
    <w:rsid w:val="002E3943"/>
    <w:rsid w:val="00323910"/>
    <w:rsid w:val="00324836"/>
    <w:rsid w:val="00351564"/>
    <w:rsid w:val="00353E07"/>
    <w:rsid w:val="0035613A"/>
    <w:rsid w:val="00361AA7"/>
    <w:rsid w:val="003630D2"/>
    <w:rsid w:val="003A0853"/>
    <w:rsid w:val="003A3658"/>
    <w:rsid w:val="003B6B93"/>
    <w:rsid w:val="003C262A"/>
    <w:rsid w:val="003D2E18"/>
    <w:rsid w:val="00403F88"/>
    <w:rsid w:val="0041154A"/>
    <w:rsid w:val="00423B44"/>
    <w:rsid w:val="00471C08"/>
    <w:rsid w:val="00471F49"/>
    <w:rsid w:val="004954E9"/>
    <w:rsid w:val="004B387F"/>
    <w:rsid w:val="004C5B94"/>
    <w:rsid w:val="004D76B1"/>
    <w:rsid w:val="00507560"/>
    <w:rsid w:val="0054728C"/>
    <w:rsid w:val="005574FD"/>
    <w:rsid w:val="005665D8"/>
    <w:rsid w:val="005712CC"/>
    <w:rsid w:val="00573BD4"/>
    <w:rsid w:val="0057481B"/>
    <w:rsid w:val="005C1DBA"/>
    <w:rsid w:val="005F14DD"/>
    <w:rsid w:val="006271EF"/>
    <w:rsid w:val="0065475C"/>
    <w:rsid w:val="00670F54"/>
    <w:rsid w:val="00676190"/>
    <w:rsid w:val="00687401"/>
    <w:rsid w:val="006906C7"/>
    <w:rsid w:val="006A7681"/>
    <w:rsid w:val="007057ED"/>
    <w:rsid w:val="007060DE"/>
    <w:rsid w:val="00743ADB"/>
    <w:rsid w:val="007654C1"/>
    <w:rsid w:val="007663B5"/>
    <w:rsid w:val="007A0EB6"/>
    <w:rsid w:val="007D4B90"/>
    <w:rsid w:val="007F20A5"/>
    <w:rsid w:val="0081121E"/>
    <w:rsid w:val="00815F9E"/>
    <w:rsid w:val="00837BB3"/>
    <w:rsid w:val="00844907"/>
    <w:rsid w:val="00852EE5"/>
    <w:rsid w:val="00863250"/>
    <w:rsid w:val="00873DE8"/>
    <w:rsid w:val="008C5985"/>
    <w:rsid w:val="008C59D2"/>
    <w:rsid w:val="008C7CAE"/>
    <w:rsid w:val="00901E91"/>
    <w:rsid w:val="009355F3"/>
    <w:rsid w:val="00943095"/>
    <w:rsid w:val="0096195C"/>
    <w:rsid w:val="009777F8"/>
    <w:rsid w:val="00977904"/>
    <w:rsid w:val="00982496"/>
    <w:rsid w:val="00982E68"/>
    <w:rsid w:val="00995C91"/>
    <w:rsid w:val="009A634E"/>
    <w:rsid w:val="009B34A8"/>
    <w:rsid w:val="009B4CF4"/>
    <w:rsid w:val="009B7807"/>
    <w:rsid w:val="00A302AA"/>
    <w:rsid w:val="00A31C8C"/>
    <w:rsid w:val="00A71DD1"/>
    <w:rsid w:val="00A7386C"/>
    <w:rsid w:val="00A856A4"/>
    <w:rsid w:val="00AB48F3"/>
    <w:rsid w:val="00AC66BE"/>
    <w:rsid w:val="00AD4BE7"/>
    <w:rsid w:val="00B012C1"/>
    <w:rsid w:val="00B54956"/>
    <w:rsid w:val="00B716C4"/>
    <w:rsid w:val="00B97D65"/>
    <w:rsid w:val="00BC3AD1"/>
    <w:rsid w:val="00BD4CC6"/>
    <w:rsid w:val="00BE335C"/>
    <w:rsid w:val="00BF0590"/>
    <w:rsid w:val="00BF1873"/>
    <w:rsid w:val="00BF5E8A"/>
    <w:rsid w:val="00C11EB9"/>
    <w:rsid w:val="00C25AC8"/>
    <w:rsid w:val="00C301B9"/>
    <w:rsid w:val="00C45729"/>
    <w:rsid w:val="00C63612"/>
    <w:rsid w:val="00C65637"/>
    <w:rsid w:val="00C7674C"/>
    <w:rsid w:val="00C76A7E"/>
    <w:rsid w:val="00C83E75"/>
    <w:rsid w:val="00C9295E"/>
    <w:rsid w:val="00CD7EA2"/>
    <w:rsid w:val="00CF4DF8"/>
    <w:rsid w:val="00D0055E"/>
    <w:rsid w:val="00D17EA9"/>
    <w:rsid w:val="00D21491"/>
    <w:rsid w:val="00D26805"/>
    <w:rsid w:val="00D43968"/>
    <w:rsid w:val="00D60C39"/>
    <w:rsid w:val="00D65B7E"/>
    <w:rsid w:val="00D726E7"/>
    <w:rsid w:val="00D74B17"/>
    <w:rsid w:val="00D778FB"/>
    <w:rsid w:val="00DB1182"/>
    <w:rsid w:val="00DB19BF"/>
    <w:rsid w:val="00DD67F6"/>
    <w:rsid w:val="00DE618E"/>
    <w:rsid w:val="00DF7268"/>
    <w:rsid w:val="00E04853"/>
    <w:rsid w:val="00E164B8"/>
    <w:rsid w:val="00E556B0"/>
    <w:rsid w:val="00E66C53"/>
    <w:rsid w:val="00E83941"/>
    <w:rsid w:val="00E974F7"/>
    <w:rsid w:val="00EB574B"/>
    <w:rsid w:val="00EC6F7D"/>
    <w:rsid w:val="00ED073D"/>
    <w:rsid w:val="00ED1401"/>
    <w:rsid w:val="00F82380"/>
    <w:rsid w:val="00F85566"/>
    <w:rsid w:val="00FA0E8F"/>
    <w:rsid w:val="00FA6036"/>
    <w:rsid w:val="00FE691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7A0EB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A0EB6"/>
    <w:rPr>
      <w:sz w:val="20"/>
      <w:szCs w:val="20"/>
    </w:rPr>
  </w:style>
  <w:style w:type="character" w:styleId="FootnoteReference">
    <w:name w:val="footnote reference"/>
    <w:basedOn w:val="DefaultParagraphFont"/>
    <w:uiPriority w:val="99"/>
    <w:semiHidden/>
    <w:unhideWhenUsed/>
    <w:rsid w:val="007A0EB6"/>
    <w:rPr>
      <w:vertAlign w:val="superscript"/>
    </w:rPr>
  </w:style>
  <w:style w:type="paragraph" w:styleId="Header">
    <w:name w:val="header"/>
    <w:basedOn w:val="Normal"/>
    <w:link w:val="HeaderChar"/>
    <w:uiPriority w:val="99"/>
    <w:unhideWhenUsed/>
    <w:rsid w:val="00977904"/>
    <w:pPr>
      <w:tabs>
        <w:tab w:val="center" w:pos="4513"/>
        <w:tab w:val="right" w:pos="9026"/>
      </w:tabs>
      <w:spacing w:after="0" w:line="240" w:lineRule="auto"/>
    </w:pPr>
  </w:style>
  <w:style w:type="character" w:customStyle="1" w:styleId="HeaderChar">
    <w:name w:val="Header Char"/>
    <w:basedOn w:val="DefaultParagraphFont"/>
    <w:link w:val="Header"/>
    <w:uiPriority w:val="99"/>
    <w:rsid w:val="00977904"/>
  </w:style>
  <w:style w:type="paragraph" w:styleId="Footer">
    <w:name w:val="footer"/>
    <w:basedOn w:val="Normal"/>
    <w:link w:val="FooterChar"/>
    <w:uiPriority w:val="99"/>
    <w:unhideWhenUsed/>
    <w:rsid w:val="00977904"/>
    <w:pPr>
      <w:tabs>
        <w:tab w:val="center" w:pos="4513"/>
        <w:tab w:val="right" w:pos="9026"/>
      </w:tabs>
      <w:spacing w:after="0" w:line="240" w:lineRule="auto"/>
    </w:pPr>
  </w:style>
  <w:style w:type="character" w:customStyle="1" w:styleId="FooterChar">
    <w:name w:val="Footer Char"/>
    <w:basedOn w:val="DefaultParagraphFont"/>
    <w:link w:val="Footer"/>
    <w:uiPriority w:val="99"/>
    <w:rsid w:val="0097790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7A0EB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A0EB6"/>
    <w:rPr>
      <w:sz w:val="20"/>
      <w:szCs w:val="20"/>
    </w:rPr>
  </w:style>
  <w:style w:type="character" w:styleId="FootnoteReference">
    <w:name w:val="footnote reference"/>
    <w:basedOn w:val="DefaultParagraphFont"/>
    <w:uiPriority w:val="99"/>
    <w:semiHidden/>
    <w:unhideWhenUsed/>
    <w:rsid w:val="007A0EB6"/>
    <w:rPr>
      <w:vertAlign w:val="superscript"/>
    </w:rPr>
  </w:style>
  <w:style w:type="paragraph" w:styleId="Header">
    <w:name w:val="header"/>
    <w:basedOn w:val="Normal"/>
    <w:link w:val="HeaderChar"/>
    <w:uiPriority w:val="99"/>
    <w:unhideWhenUsed/>
    <w:rsid w:val="00977904"/>
    <w:pPr>
      <w:tabs>
        <w:tab w:val="center" w:pos="4513"/>
        <w:tab w:val="right" w:pos="9026"/>
      </w:tabs>
      <w:spacing w:after="0" w:line="240" w:lineRule="auto"/>
    </w:pPr>
  </w:style>
  <w:style w:type="character" w:customStyle="1" w:styleId="HeaderChar">
    <w:name w:val="Header Char"/>
    <w:basedOn w:val="DefaultParagraphFont"/>
    <w:link w:val="Header"/>
    <w:uiPriority w:val="99"/>
    <w:rsid w:val="00977904"/>
  </w:style>
  <w:style w:type="paragraph" w:styleId="Footer">
    <w:name w:val="footer"/>
    <w:basedOn w:val="Normal"/>
    <w:link w:val="FooterChar"/>
    <w:uiPriority w:val="99"/>
    <w:unhideWhenUsed/>
    <w:rsid w:val="00977904"/>
    <w:pPr>
      <w:tabs>
        <w:tab w:val="center" w:pos="4513"/>
        <w:tab w:val="right" w:pos="9026"/>
      </w:tabs>
      <w:spacing w:after="0" w:line="240" w:lineRule="auto"/>
    </w:pPr>
  </w:style>
  <w:style w:type="character" w:customStyle="1" w:styleId="FooterChar">
    <w:name w:val="Footer Char"/>
    <w:basedOn w:val="DefaultParagraphFont"/>
    <w:link w:val="Footer"/>
    <w:uiPriority w:val="99"/>
    <w:rsid w:val="009779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0F9E71-1892-4151-9931-2A935BC541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1006</TotalTime>
  <Pages>9</Pages>
  <Words>4964</Words>
  <Characters>28300</Characters>
  <Application>Microsoft Office Word</Application>
  <DocSecurity>0</DocSecurity>
  <Lines>235</Lines>
  <Paragraphs>66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33198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58</cp:revision>
  <cp:lastPrinted>2017-10-12T00:29:00Z</cp:lastPrinted>
  <dcterms:created xsi:type="dcterms:W3CDTF">2017-08-08T23:54:00Z</dcterms:created>
  <dcterms:modified xsi:type="dcterms:W3CDTF">2017-10-25T00:46:00Z</dcterms:modified>
</cp:coreProperties>
</file>