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7FBAE8" w14:textId="30B41203" w:rsidR="00C94F6B" w:rsidRDefault="007C0E14" w:rsidP="00104FD3">
      <w:pPr>
        <w:jc w:val="center"/>
        <w:rPr>
          <w:b/>
        </w:rPr>
      </w:pPr>
      <w:r>
        <w:rPr>
          <w:b/>
        </w:rPr>
        <w:t>The Bishop Who Stirred the Pot:</w:t>
      </w:r>
      <w:r w:rsidR="00104FD3">
        <w:rPr>
          <w:b/>
        </w:rPr>
        <w:t xml:space="preserve"> Barnes</w:t>
      </w:r>
      <w:r>
        <w:rPr>
          <w:b/>
        </w:rPr>
        <w:t xml:space="preserve"> of Birmingham</w:t>
      </w:r>
    </w:p>
    <w:p w14:paraId="0A57A294" w14:textId="1CAFC117" w:rsidR="00D77669" w:rsidRDefault="00063463" w:rsidP="00063463">
      <w:r>
        <w:t xml:space="preserve">The Church of England is notoriously tolerant of dissent. It is, as they say, a broad church, a mansion with many rooms. The King, the head of the church, may have executed heretics, and other nuisances, in times past, especially those of Henry VIII, but those days have long gone. Weary of religious and civil conflict, England in the eighteenth century embraced toleration (by and large). A </w:t>
      </w:r>
      <w:r w:rsidR="002D7A9A">
        <w:t>middling</w:t>
      </w:r>
      <w:r>
        <w:t xml:space="preserve"> faction in Anglican ranks labelled themselves, or were labelled, Broad Church “latitudi</w:t>
      </w:r>
      <w:r w:rsidR="00C47728">
        <w:t>narians</w:t>
      </w:r>
      <w:r>
        <w:t>”. They cared little for doctrinal or ritualistic issues, or for the “fanat</w:t>
      </w:r>
      <w:r w:rsidR="00B8412A">
        <w:t>icism”, as they saw it, of opponents such as the Evangelical Anglicans, who adhered to the more strictly Protestant beliefs associated with the Reformation. The</w:t>
      </w:r>
      <w:r w:rsidR="00C47728">
        <w:t xml:space="preserve">se </w:t>
      </w:r>
      <w:r w:rsidR="00B8412A">
        <w:t>were labelled “Low Church” and would have been better off – according to their critics – joining their Nonconformist brethren, such as the Presbyterians and Baptists. One group, the Methodists, did in fact secede from the Church of England under the Wesleys.</w:t>
      </w:r>
      <w:r>
        <w:t xml:space="preserve"> </w:t>
      </w:r>
      <w:r w:rsidR="00B8412A">
        <w:t xml:space="preserve">On the conservative side of Anglicanism </w:t>
      </w:r>
      <w:r w:rsidR="00C47728">
        <w:t>was</w:t>
      </w:r>
      <w:r w:rsidR="00B8412A">
        <w:t xml:space="preserve"> the “High Church”</w:t>
      </w:r>
      <w:r w:rsidR="00B67077">
        <w:t xml:space="preserve">, a group of clerics </w:t>
      </w:r>
      <w:r w:rsidR="00B8412A">
        <w:t>who</w:t>
      </w:r>
      <w:r w:rsidR="00B67077">
        <w:t xml:space="preserve">se loyalty, as they saw it, was to the central doctrines of Christianity that had been espoused by the “old church” of pre-Henry VIII times. Anglo-Catholicism was to become immensely stronger in the nineteenth century with the rise of the Oxford Movement. This was a movement that strove for a spiritual revival within the church. It included the revival of traditional rituals and customs that had fallen into disuse. </w:t>
      </w:r>
      <w:r w:rsidR="001D5E2D">
        <w:t>Their critics accused them of being closet Catholics.</w:t>
      </w:r>
      <w:r w:rsidR="00265487">
        <w:t xml:space="preserve"> Much of the bitter dispute over such issues had, however, died down by the post- World War One period. The Armageddon of the trenches seemed to dwarf everything for a time.</w:t>
      </w:r>
    </w:p>
    <w:p w14:paraId="76D5D0CF" w14:textId="099F05EE" w:rsidR="0098380E" w:rsidRDefault="00284B26" w:rsidP="00063463">
      <w:r>
        <w:t xml:space="preserve">Bishop Barnes managed to disturb this peace. He embroiled himself, the church and English society endlessly in both the old and new issues. To many he was a quarrelsome and eccentric </w:t>
      </w:r>
      <w:r w:rsidR="00D77669">
        <w:t>e</w:t>
      </w:r>
      <w:r>
        <w:t>vangelical (he preferred “liberal</w:t>
      </w:r>
      <w:r w:rsidR="00D77669">
        <w:t xml:space="preserve"> evangelical”) whose views verged on heresy (after all he denied the virgin birth and questioned the eucharist). For others (and himself) he </w:t>
      </w:r>
      <w:r w:rsidR="00430AE8">
        <w:t>was an enlightened thinker who was</w:t>
      </w:r>
      <w:r w:rsidR="00D77669">
        <w:t xml:space="preserve"> trying to bring the church to </w:t>
      </w:r>
      <w:r w:rsidR="00430AE8">
        <w:t xml:space="preserve">abandon ancient superstitions and </w:t>
      </w:r>
      <w:r w:rsidR="00D77669">
        <w:t>accept modernity, especially modern science. For yet others</w:t>
      </w:r>
      <w:r w:rsidR="00430AE8">
        <w:t>,</w:t>
      </w:r>
      <w:r w:rsidR="00D77669">
        <w:t xml:space="preserve"> he was a racist eugenist who lacked</w:t>
      </w:r>
      <w:r>
        <w:t xml:space="preserve"> </w:t>
      </w:r>
      <w:r w:rsidR="00D77669">
        <w:t>empathy for the poor, the weak and disadvantaged.</w:t>
      </w:r>
      <w:r w:rsidR="00B67077">
        <w:t xml:space="preserve"> </w:t>
      </w:r>
      <w:r w:rsidR="00593EA6">
        <w:t xml:space="preserve">Historically he now seems one of </w:t>
      </w:r>
      <w:r w:rsidR="0098380E">
        <w:t>several</w:t>
      </w:r>
      <w:r w:rsidR="00593EA6">
        <w:t xml:space="preserve"> intellectuals whose efforts to “scientise” religion, to drag the churches into the modern world, was worthy, but ultimately weakened faith and spirituality</w:t>
      </w:r>
      <w:r w:rsidR="002D7A9A">
        <w:t xml:space="preserve"> by emptying out religion’s sense of mystery and the sacred.</w:t>
      </w:r>
      <w:r w:rsidR="00593EA6">
        <w:t xml:space="preserve"> </w:t>
      </w:r>
    </w:p>
    <w:p w14:paraId="3EE7C4F6" w14:textId="67AEAD19" w:rsidR="00AE353D" w:rsidRDefault="0098380E" w:rsidP="00063463">
      <w:r>
        <w:t xml:space="preserve">Barnes may have been a </w:t>
      </w:r>
      <w:r w:rsidR="007F1721">
        <w:t>“</w:t>
      </w:r>
      <w:r>
        <w:t>stormy petrel</w:t>
      </w:r>
      <w:r w:rsidR="007F1721">
        <w:t>”</w:t>
      </w:r>
      <w:r>
        <w:t xml:space="preserve"> of the time. However, he is not to be dismissed as a crank. He was in fact an excellent </w:t>
      </w:r>
      <w:r w:rsidR="003B0170">
        <w:t>mathematician and</w:t>
      </w:r>
      <w:r>
        <w:t xml:space="preserve"> was exceptionally well informed about evolutionary biology and genetics. He made a serious contribution to the science-religion debate during the interwar period, even if his ultimate influence was not great.</w:t>
      </w:r>
      <w:r w:rsidR="003B0170">
        <w:t xml:space="preserve"> Let us look briefly at his life, before exploring some of his major works and looking at some revisionist scholarly assessments of him.</w:t>
      </w:r>
    </w:p>
    <w:p w14:paraId="68321D03" w14:textId="35066B1D" w:rsidR="00063463" w:rsidRDefault="00AE353D" w:rsidP="00063463">
      <w:r>
        <w:rPr>
          <w:b/>
        </w:rPr>
        <w:t>Bishop Barnes of Birmingham</w:t>
      </w:r>
      <w:r w:rsidR="003B0170">
        <w:t xml:space="preserve"> </w:t>
      </w:r>
    </w:p>
    <w:p w14:paraId="4C29EC7E" w14:textId="65E0E984" w:rsidR="00280C6F" w:rsidRDefault="00992906" w:rsidP="00063463">
      <w:r>
        <w:t>Ernest William Barnes (1874-1953) was a Birminghamite through and through. Even though he was born in Cheshire, his father was appointed headmaster of a school in Birmingham when Ernest was a boy. He was educated at a well-to-do Anglican school</w:t>
      </w:r>
      <w:r w:rsidR="00280C6F">
        <w:t xml:space="preserve"> there</w:t>
      </w:r>
      <w:r>
        <w:t>, King Edward’s School (even though his father was a Baptist), excelled at mathematics and won a scholarship to Trinity College, Cambridge</w:t>
      </w:r>
      <w:r w:rsidR="00280C6F">
        <w:t>,</w:t>
      </w:r>
      <w:r>
        <w:t xml:space="preserve"> in 1893, where he got </w:t>
      </w:r>
      <w:r w:rsidR="00074D05">
        <w:t>a first</w:t>
      </w:r>
      <w:r>
        <w:t xml:space="preserve"> in maths, was president of the union and was elected a fellow, became junior dean</w:t>
      </w:r>
      <w:r w:rsidR="003659B9">
        <w:t>, then</w:t>
      </w:r>
      <w:r>
        <w:t xml:space="preserve"> tutor from 1908 to 1915.</w:t>
      </w:r>
      <w:r w:rsidR="00164DCC">
        <w:t xml:space="preserve"> In 1909 he was elected a Fellow of the Royal Society, a great distinction, for his work in mathematical physics.</w:t>
      </w:r>
      <w:r w:rsidR="00191DDC">
        <w:t xml:space="preserve"> At Cambridge he was noted for both shyness </w:t>
      </w:r>
      <w:r w:rsidR="00191DDC">
        <w:lastRenderedPageBreak/>
        <w:t xml:space="preserve">and a taste for robust argumentation, an odd combination, and throughout life he both jumped into debates and avoided public appearances and </w:t>
      </w:r>
      <w:r w:rsidR="009800BC">
        <w:t xml:space="preserve">personal confrontation </w:t>
      </w:r>
      <w:r w:rsidR="00191DDC">
        <w:t>wherever possible.</w:t>
      </w:r>
      <w:r w:rsidR="00E25D50">
        <w:rPr>
          <w:rStyle w:val="FootnoteReference"/>
        </w:rPr>
        <w:footnoteReference w:id="1"/>
      </w:r>
    </w:p>
    <w:p w14:paraId="5247F80C" w14:textId="5C668229" w:rsidR="0004699F" w:rsidRDefault="00280C6F" w:rsidP="00063463">
      <w:r>
        <w:t xml:space="preserve">He became more religious at Cambridge and was ordained an Anglican priest in 1903, rapidly advancing in the ranks, </w:t>
      </w:r>
      <w:r w:rsidR="00B15BA5">
        <w:t xml:space="preserve">was </w:t>
      </w:r>
      <w:r>
        <w:t>made Master of the Temple Church of Inns of Court 1915-1919, canon of Westminster in 1918, and appointed Bishop of Birmingham by the Labour Prime Minister Ramsay MacDonald in 1924, where he remained for the rest of his life.</w:t>
      </w:r>
      <w:r w:rsidR="00191DDC">
        <w:t xml:space="preserve">  </w:t>
      </w:r>
    </w:p>
    <w:p w14:paraId="454B639D" w14:textId="16BCB0A0" w:rsidR="00AB1A29" w:rsidRDefault="00AB1A29" w:rsidP="00063463">
      <w:r>
        <w:t xml:space="preserve">Barnes first made himself a </w:t>
      </w:r>
      <w:r w:rsidR="00E25D50">
        <w:t>controversial</w:t>
      </w:r>
      <w:r>
        <w:t xml:space="preserve"> public figure during the </w:t>
      </w:r>
      <w:r w:rsidR="00363763">
        <w:t>Great War of 1914-18.</w:t>
      </w:r>
      <w:r>
        <w:t xml:space="preserve"> Unlike most clergy, who openly preached in favour of war and militaristic patriotism, Barnes </w:t>
      </w:r>
      <w:r w:rsidR="00E25D50">
        <w:t xml:space="preserve">took </w:t>
      </w:r>
      <w:r>
        <w:t>a pacifist</w:t>
      </w:r>
      <w:r w:rsidR="00E25D50">
        <w:t xml:space="preserve"> stand</w:t>
      </w:r>
      <w:r>
        <w:t>.</w:t>
      </w:r>
      <w:r w:rsidR="00E25D50">
        <w:t xml:space="preserve"> </w:t>
      </w:r>
      <w:r w:rsidR="00363763">
        <w:t xml:space="preserve">He was </w:t>
      </w:r>
      <w:r w:rsidR="0020232E">
        <w:t>to become</w:t>
      </w:r>
      <w:r w:rsidR="00363763">
        <w:t xml:space="preserve"> one of the leading Christian pacifists of the twentieth century, even though his role has not been adequately recognised</w:t>
      </w:r>
      <w:r w:rsidR="0020232E">
        <w:t>.</w:t>
      </w:r>
      <w:r w:rsidR="0020232E">
        <w:rPr>
          <w:rStyle w:val="FootnoteReference"/>
        </w:rPr>
        <w:footnoteReference w:id="2"/>
      </w:r>
      <w:r w:rsidR="005F4EF5">
        <w:t xml:space="preserve"> Why was Barnes a pacifist, apart from the obvious fact that Christ taught peace to all men? Stephen Parker gives us a clue:</w:t>
      </w:r>
    </w:p>
    <w:p w14:paraId="5FD0AE29" w14:textId="3FE8C98A" w:rsidR="005F4EF5" w:rsidRDefault="005F4EF5" w:rsidP="00063463">
      <w:r>
        <w:t>“Despite being an establishment figure, a Cambridge don-turned-bishop, Barnes never shook off</w:t>
      </w:r>
      <w:r w:rsidR="00F73540">
        <w:t xml:space="preserve"> his Nonconformist roots or the stubborn anti-authoritarian mindset that went with it. In this context, it is hardly surprising that amongst the minority positions he adopted Barnes was a pacifist…”</w:t>
      </w:r>
      <w:r w:rsidR="00B778BF">
        <w:t>.</w:t>
      </w:r>
      <w:r w:rsidR="00F73540">
        <w:t xml:space="preserve"> </w:t>
      </w:r>
    </w:p>
    <w:p w14:paraId="63772A92" w14:textId="5765DC4E" w:rsidR="000D2C7A" w:rsidRDefault="000D2C7A" w:rsidP="00063463">
      <w:r>
        <w:t xml:space="preserve">In October 1914 he preached a sermon in Trinity chapel entitled “Love Your Enemies”, not a theme that endeared him to people at a time of national war hysteria. </w:t>
      </w:r>
      <w:r w:rsidR="007B5389">
        <w:t>He advocated Christianising international relations and negotiating with the Germans, the programme of the Union of Democratic Control, “a liberal-minded group founded at the outset of the first world war, deeply critical of British foreign policy and led by Charles Trevelyan and E. D. Morel, which Barnes joined and became active in at its foundation”.</w:t>
      </w:r>
      <w:r w:rsidR="007B5389">
        <w:rPr>
          <w:rStyle w:val="FootnoteReference"/>
        </w:rPr>
        <w:footnoteReference w:id="3"/>
      </w:r>
      <w:r>
        <w:t xml:space="preserve"> </w:t>
      </w:r>
      <w:r w:rsidR="00AC1189">
        <w:t>Miraculously he survived the purge of pacifists in the colleges that took place at this time, one of whom was the philosopher Bertrand Russell (also a member of the UDC), who was deprived of his</w:t>
      </w:r>
      <w:r w:rsidR="0086357B">
        <w:t xml:space="preserve"> fellowship at Trinity. Barnes stoutly defended Russell, unsuccessfully. </w:t>
      </w:r>
      <w:r w:rsidR="009775F5">
        <w:t>He himself was ultimately pressurised into leaving Trinity to take the mastership of the Temple, which at least gave give a platform for his peace ideas in London. His sermons led the lord chancellor, one of the Temple congregation, to threaten: “If I didn’t know it was a privileged occasion, I would have that master of ours in gaol tomorrow”. Others such as Russell did in fact end up in gaol (although Russell, as a member of a noble family, was given a comfortable cell more like a study and was able to continue his writing there).</w:t>
      </w:r>
      <w:r w:rsidR="00922BCA">
        <w:t xml:space="preserve"> Barnes was also a tireless defender of conscientious objectors, who were being mercilessly persecuted.</w:t>
      </w:r>
    </w:p>
    <w:p w14:paraId="719ED840" w14:textId="2721F0C2" w:rsidR="0049307C" w:rsidRDefault="00922BCA" w:rsidP="00063463">
      <w:r>
        <w:t xml:space="preserve">Throughout his career Barnes gave his pacifism a quasi-scientific basis in eugenics, a creed he strongly embraced. </w:t>
      </w:r>
      <w:r w:rsidR="009849DF">
        <w:t xml:space="preserve">Eugenics, founded by Darwin’s </w:t>
      </w:r>
      <w:r w:rsidR="00A72B3D">
        <w:t>half-cousin</w:t>
      </w:r>
      <w:r w:rsidR="009849DF">
        <w:t xml:space="preserve"> Francis Galton, was endorsed by many biologist and geneticists at the time.</w:t>
      </w:r>
      <w:r w:rsidR="009849DF">
        <w:rPr>
          <w:rStyle w:val="FootnoteReference"/>
        </w:rPr>
        <w:footnoteReference w:id="4"/>
      </w:r>
      <w:r w:rsidR="009849DF">
        <w:t xml:space="preserve"> </w:t>
      </w:r>
      <w:r w:rsidR="007E385C">
        <w:t xml:space="preserve">Simply put, </w:t>
      </w:r>
      <w:r w:rsidR="00567395">
        <w:t>eugenics</w:t>
      </w:r>
      <w:r w:rsidR="007E385C">
        <w:t xml:space="preserve"> urged the positive selection of “superior stocks” (usually types of their own class and race</w:t>
      </w:r>
      <w:r w:rsidR="00296A64">
        <w:t>)</w:t>
      </w:r>
      <w:r w:rsidR="007E385C">
        <w:t xml:space="preserve">, and the negative selection, or “weeding out”, of inferior stocks, the genetically inferior (usually lower class, the intellectually disadvantaged </w:t>
      </w:r>
      <w:r w:rsidR="007E385C">
        <w:lastRenderedPageBreak/>
        <w:t>or racially different).</w:t>
      </w:r>
      <w:r w:rsidR="007E385C">
        <w:rPr>
          <w:rStyle w:val="FootnoteReference"/>
        </w:rPr>
        <w:footnoteReference w:id="5"/>
      </w:r>
      <w:r w:rsidR="007E385C">
        <w:t xml:space="preserve"> </w:t>
      </w:r>
      <w:r w:rsidR="0049307C">
        <w:t xml:space="preserve">It should be noted here that eugenics was not the preserve of the ultra-right. It spread across a spectrum from conservatives to left-wing Fabians and social engineers of all colours. Its main opponents were Catholics and liberals concerned about individual freedoms and the right to life. </w:t>
      </w:r>
    </w:p>
    <w:p w14:paraId="79C18528" w14:textId="2B2311BA" w:rsidR="00922BCA" w:rsidRDefault="007E385C" w:rsidP="00063463">
      <w:r>
        <w:t xml:space="preserve">Barnes </w:t>
      </w:r>
      <w:r w:rsidR="009F29FD">
        <w:t>kept</w:t>
      </w:r>
      <w:r>
        <w:t xml:space="preserve"> up with </w:t>
      </w:r>
      <w:r w:rsidR="0049307C">
        <w:t>genetics and</w:t>
      </w:r>
      <w:r>
        <w:t xml:space="preserve"> was to forge a </w:t>
      </w:r>
      <w:r w:rsidR="0049307C">
        <w:t>long-term</w:t>
      </w:r>
      <w:r>
        <w:t xml:space="preserve"> alliance with his erstwhile student</w:t>
      </w:r>
      <w:r w:rsidR="009F29FD">
        <w:t xml:space="preserve"> R. A. Fisher, a leading genetic theorist and activist for eugenics (also an Anglican).</w:t>
      </w:r>
      <w:r w:rsidR="00B321B1">
        <w:t xml:space="preserve"> Barnes </w:t>
      </w:r>
      <w:r w:rsidR="00567395">
        <w:t>was acutely aware of</w:t>
      </w:r>
      <w:r w:rsidR="00CC21DC">
        <w:t xml:space="preserve"> the carnage </w:t>
      </w:r>
      <w:r w:rsidR="00567395">
        <w:t xml:space="preserve">that took place </w:t>
      </w:r>
      <w:r w:rsidR="00CC21DC">
        <w:t>among the officer class from Oxford, Cambridge and the elite public schools during the trench warfare</w:t>
      </w:r>
      <w:r w:rsidR="009849DF">
        <w:t xml:space="preserve"> </w:t>
      </w:r>
      <w:r w:rsidR="00CC21DC">
        <w:t>in France. Like others he drew the lesson that war was destroying the cream of Britain’s young men, the leaders of the future. Peacetime was likely to see deep class antagonisms</w:t>
      </w:r>
      <w:r w:rsidR="006D7D45">
        <w:t>.</w:t>
      </w:r>
      <w:r w:rsidR="00CC21DC">
        <w:t xml:space="preserve"> Barnes viewed the middle classes as “the epitome of evolutionary progress”, while the lower classes were an inferior residuum who would overrun and ruin the genetic stock of society. Such fears had been around since the late nineteenth century, part of the “degenerationist” debate of the time. Overpopulation and excessive welfare were seen by the eugenists as a fatal combination that would dilute the Anglo-Saxon race.</w:t>
      </w:r>
      <w:r w:rsidR="006D7D45">
        <w:t xml:space="preserve"> Barnes was to hammer such themes for the rest of his life, even after Nazi race theory and the gas chambers had almost totally discredited eugenics (it was to survive in underground forms and was to re-emerge in modern genetic engineering and plans for “human enhancement”).</w:t>
      </w:r>
      <w:r w:rsidR="00CC21DC">
        <w:t xml:space="preserve">  </w:t>
      </w:r>
      <w:r w:rsidR="00922BCA">
        <w:t xml:space="preserve"> </w:t>
      </w:r>
    </w:p>
    <w:p w14:paraId="4875066A" w14:textId="28EE14E6" w:rsidR="0004699F" w:rsidRDefault="006D7D45" w:rsidP="00063463">
      <w:r>
        <w:t>Even in 1945 Barnes could make these comments:</w:t>
      </w:r>
    </w:p>
    <w:p w14:paraId="50A48E6D" w14:textId="3A3EE2FC" w:rsidR="006D7D45" w:rsidRDefault="006D7D45" w:rsidP="00063463">
      <w:r>
        <w:t>“The riff-raff of the community, the dull, the dirty or feebleminded</w:t>
      </w:r>
      <w:r w:rsidR="00BC51DD">
        <w:t xml:space="preserve"> are useless in the army. In war-time they are overpaid in safe jobs and their numbers increase disastrously. Let such a process go on for several generations and the whole quality of a nation declines. This decline cannot be arrested by an increase of good food, good education and good housing: all citizens should receive such help, but we shall not thereby create a satisfactory population… Total war gives a nation a ‘scrub’ population”.</w:t>
      </w:r>
      <w:r w:rsidR="00BC51DD">
        <w:rPr>
          <w:rStyle w:val="FootnoteReference"/>
        </w:rPr>
        <w:footnoteReference w:id="6"/>
      </w:r>
    </w:p>
    <w:p w14:paraId="00D3A0D8" w14:textId="77777777" w:rsidR="00A0458A" w:rsidRDefault="00CF719D" w:rsidP="00063463">
      <w:r>
        <w:t>What was perhaps the source of most controversy in Barnes’s clerical life was his aggressively pro-science stance, which led him into notably sceptical approaches to much traditional Christian theology, beliefs and rituals. In this he was often to be lumped with the so-called “Modernist” movement at the time (although he rejected the label). This movement in ideas and culture tended to reject older mores and cultural standards as straitjacketing. It spread into both the Catholic and Anglican churches.</w:t>
      </w:r>
      <w:r>
        <w:rPr>
          <w:rStyle w:val="FootnoteReference"/>
        </w:rPr>
        <w:footnoteReference w:id="7"/>
      </w:r>
      <w:r>
        <w:t xml:space="preserve"> </w:t>
      </w:r>
      <w:r w:rsidR="00E7751E">
        <w:t xml:space="preserve">At its most enlightening it called for religion to be brought into tune with recent developments in science, including evolutionary theory. This would entail much needed dogmatic revisions. At its least pleasant, Anglican Modernism deteriorated into </w:t>
      </w:r>
      <w:r w:rsidR="003C3B6A">
        <w:t>a</w:t>
      </w:r>
      <w:r w:rsidR="00E7751E">
        <w:t xml:space="preserve">nti-Catholic </w:t>
      </w:r>
      <w:r w:rsidR="003C3B6A">
        <w:t xml:space="preserve">prejudice </w:t>
      </w:r>
      <w:r w:rsidR="00E7751E">
        <w:t>generally, and persecution of Anglo-Catholics within the clergy. Barnes shared both</w:t>
      </w:r>
      <w:r w:rsidR="003C3B6A">
        <w:t xml:space="preserve"> tendencies</w:t>
      </w:r>
      <w:r w:rsidR="00E7751E">
        <w:t>.</w:t>
      </w:r>
    </w:p>
    <w:p w14:paraId="52880936" w14:textId="12B78F98" w:rsidR="00A0458A" w:rsidRDefault="00A0458A" w:rsidP="00063463">
      <w:r>
        <w:t>Barnes was known to sympathise with leading Modernists within the Anglican church such as Hastings Randall and Hensley He</w:t>
      </w:r>
      <w:r w:rsidR="00202ADE">
        <w:t>nson</w:t>
      </w:r>
      <w:r>
        <w:t xml:space="preserve">. They were held to have at least semi-heretical views on the </w:t>
      </w:r>
      <w:r>
        <w:lastRenderedPageBreak/>
        <w:t xml:space="preserve">virgin birth of Christ and bodily resurrection, although they cautiously refused to go too far publicly in that direction. </w:t>
      </w:r>
      <w:r w:rsidR="009546A6">
        <w:t>So</w:t>
      </w:r>
      <w:r>
        <w:t xml:space="preserve"> </w:t>
      </w:r>
      <w:r w:rsidR="00C90102">
        <w:t xml:space="preserve">also </w:t>
      </w:r>
      <w:r>
        <w:t>did Barnes at the time. The Modernists were widely criticised for their views at the 1921 conference of the Modern Churchmen’s Union. As Peter Bowler has shown in an article on Barnes’s stance on the eucharist, Barnes was the</w:t>
      </w:r>
      <w:r w:rsidR="00C90102">
        <w:t>reafter</w:t>
      </w:r>
      <w:r>
        <w:t xml:space="preserve"> seen as the de facto leader of the movement but felt uncomfortable in the position:</w:t>
      </w:r>
    </w:p>
    <w:p w14:paraId="64B52F66" w14:textId="1DB18049" w:rsidR="00A0458A" w:rsidRDefault="00A0458A" w:rsidP="00063463">
      <w:r>
        <w:t>“His support for Modernism was linked to his scientific world view, which certainly led him to distrust the miraculous elements in traditional Christianity</w:t>
      </w:r>
      <w:r w:rsidR="00BC4F21">
        <w:t xml:space="preserve">. That he was willing to apply this position to Christ himself became evident only later, when he published his </w:t>
      </w:r>
      <w:r w:rsidR="00BC4F21">
        <w:rPr>
          <w:i/>
        </w:rPr>
        <w:t>The Rise of Christianity</w:t>
      </w:r>
      <w:r w:rsidR="00BC4F21">
        <w:t xml:space="preserve"> in 1947. This again created an outcry, and Barnes was openly rebuked in the Convocation of Canterbury. To critics, Barnes reduced Christ to merely a supremely good man revered by his followers for his moral superiority. One later commentator entitled his section on this episode ‘The Follies of Dr Barnes’, and quoted </w:t>
      </w:r>
      <w:r w:rsidR="00BC4F21">
        <w:rPr>
          <w:i/>
        </w:rPr>
        <w:t>Crockford’s Clerical Dictionary</w:t>
      </w:r>
      <w:r w:rsidR="00BC4F21">
        <w:t xml:space="preserve"> to the effect that it would have been better if Barnes had remained a Cambridge don”.</w:t>
      </w:r>
      <w:r w:rsidR="00E955C4">
        <w:rPr>
          <w:rStyle w:val="FootnoteReference"/>
        </w:rPr>
        <w:footnoteReference w:id="8"/>
      </w:r>
    </w:p>
    <w:p w14:paraId="3D931F5A" w14:textId="7ABDFCCB" w:rsidR="008D0C46" w:rsidRPr="00BC4F21" w:rsidRDefault="005A3554" w:rsidP="00063463">
      <w:r>
        <w:t xml:space="preserve">Although some </w:t>
      </w:r>
      <w:r w:rsidR="00C90102">
        <w:t>thought that he</w:t>
      </w:r>
      <w:r>
        <w:t xml:space="preserve">, and other extreme Modernists, </w:t>
      </w:r>
      <w:r w:rsidR="00C90102">
        <w:t>should, out of conscience, resign from</w:t>
      </w:r>
      <w:r>
        <w:t xml:space="preserve"> clerical office, Barnes, as Bowler says, was unrepentant: “he revered Christ in a way that made him quite comfortable with celebrating the sacrament of Holy Communion, and felt that his position was the only one open to anyone with a commitment to the scientific world view in which uniformity of nature was taken for granted. But he was adamant that the meaning of Holy Communion lay in its symbolic expression of Christ’s liberating spiritual power”.</w:t>
      </w:r>
      <w:r>
        <w:rPr>
          <w:rStyle w:val="FootnoteReference"/>
        </w:rPr>
        <w:footnoteReference w:id="9"/>
      </w:r>
    </w:p>
    <w:p w14:paraId="7BBF4A21" w14:textId="7C6C11C6" w:rsidR="0004699F" w:rsidRDefault="00F47496" w:rsidP="00063463">
      <w:r>
        <w:t>Barnes openly repressed any</w:t>
      </w:r>
      <w:r w:rsidR="005772C7">
        <w:t xml:space="preserve"> tendencies to Anglo-Catholicism in his Birmingham diocese. He had an almost visceral antipathy to Anglo-Catholics which went beyond the usual evangelical versus High Church historical clash. Typically, he would refuse to sit on committees with them and opposed their appointment to clerical office wherever possible. He was hardly a harbinger of ecumenicalism! One of the first episodes to make national news and arouse much controversy was his harsh treatment of the saintly young Alec Vidler – a future leading Anglican church historian – who had the bad luck to be appointed </w:t>
      </w:r>
      <w:r w:rsidR="004018A6">
        <w:t xml:space="preserve">curate </w:t>
      </w:r>
      <w:r w:rsidR="005772C7">
        <w:t>to Barnes’s diocese. Vidler was High Church and had sympathies with Catholic Modernism. He was in many ways a liberal progressive</w:t>
      </w:r>
      <w:r w:rsidR="002D5495">
        <w:t>;</w:t>
      </w:r>
      <w:r w:rsidR="005772C7">
        <w:t xml:space="preserve"> but </w:t>
      </w:r>
      <w:r w:rsidR="002D5495">
        <w:t xml:space="preserve">he was </w:t>
      </w:r>
      <w:r w:rsidR="005772C7">
        <w:t xml:space="preserve">also a devout believer in </w:t>
      </w:r>
      <w:r w:rsidR="002D5495">
        <w:t>what he saw as central Christian</w:t>
      </w:r>
      <w:r w:rsidR="005772C7">
        <w:t xml:space="preserve"> beliefs and rituals.</w:t>
      </w:r>
      <w:r w:rsidR="005772C7">
        <w:rPr>
          <w:rStyle w:val="FootnoteReference"/>
        </w:rPr>
        <w:footnoteReference w:id="10"/>
      </w:r>
      <w:r w:rsidR="005772C7">
        <w:t xml:space="preserve"> </w:t>
      </w:r>
      <w:r w:rsidR="004018A6">
        <w:t xml:space="preserve"> As </w:t>
      </w:r>
      <w:r w:rsidR="001C7E96">
        <w:t xml:space="preserve">Vidler </w:t>
      </w:r>
      <w:r w:rsidR="004018A6">
        <w:t>sadly recorded in his autobiography, Bishop Barnes made his life hell during his tenure there (he left as soon as possible). A major issue of dispute concerned Vidler’s desire to allow open veneration, or “reservation”, of the sacrament in the church ceremony. Barnes regarded such practices as Papist</w:t>
      </w:r>
      <w:r w:rsidR="00FE2E71">
        <w:t xml:space="preserve"> – a survival of primitive mystery religions -</w:t>
      </w:r>
      <w:r w:rsidR="004018A6">
        <w:t xml:space="preserve"> and consistently opposed them. Barnes refused to visit Vidler’s little church of St Aiden’s while Vidler was </w:t>
      </w:r>
      <w:r w:rsidR="00A55B1A">
        <w:t>curate and</w:t>
      </w:r>
      <w:r w:rsidR="004018A6">
        <w:t xml:space="preserve"> prevented him from preaching</w:t>
      </w:r>
      <w:r w:rsidR="002C023F">
        <w:t xml:space="preserve"> in the diocese after he left.</w:t>
      </w:r>
      <w:r w:rsidR="00B62AA8">
        <w:rPr>
          <w:rStyle w:val="FootnoteReference"/>
        </w:rPr>
        <w:footnoteReference w:id="11"/>
      </w:r>
      <w:r w:rsidR="005B5DE1">
        <w:t xml:space="preserve"> In the interests of </w:t>
      </w:r>
      <w:r w:rsidR="005B5DE1">
        <w:lastRenderedPageBreak/>
        <w:t>conciliation within the church</w:t>
      </w:r>
      <w:r w:rsidR="00E961A8">
        <w:t>,</w:t>
      </w:r>
      <w:r w:rsidR="005B5DE1">
        <w:t xml:space="preserve"> the Archbishop of Canterbury, Randall Davidson, publicly urged Barnes in 1927 to tone down the offensive tenor of his sermons.</w:t>
      </w:r>
    </w:p>
    <w:p w14:paraId="2757E82A" w14:textId="4A68C830" w:rsidR="00B50F6C" w:rsidRDefault="000D1695" w:rsidP="00063463">
      <w:r>
        <w:t>As Bowler summates it:</w:t>
      </w:r>
    </w:p>
    <w:p w14:paraId="30D4C257" w14:textId="3D075295" w:rsidR="000D1695" w:rsidRDefault="000D1695" w:rsidP="00063463">
      <w:r>
        <w:t>“Modernism had some success in the 1920s, but in the end its policy of compromise [between science and religion] turned out to be misguided. Barnes himself found his version of Christianity satisfying, but to many others Modernism came to seem arid and lacking in spirituality. By 1936</w:t>
      </w:r>
      <w:r w:rsidR="005E7DE5">
        <w:t>,</w:t>
      </w:r>
      <w:r>
        <w:t xml:space="preserve"> Barnes himself was pessimistic about the future of his own liberal tradition within the Church – although he thought that the evangelical and Catholic traditions were equally in decline. He recognized that there was a spirit of unreason in the air [So did George Orwell]. In the darker days of the 1930s, young people turned either to outright materialism, or to a Christianity that increasingly emphasized its spiritual and supernatural origins.”</w:t>
      </w:r>
      <w:r>
        <w:rPr>
          <w:rStyle w:val="FootnoteReference"/>
        </w:rPr>
        <w:footnoteReference w:id="12"/>
      </w:r>
    </w:p>
    <w:p w14:paraId="5CF7F139" w14:textId="6F47EB21" w:rsidR="002E7E52" w:rsidRDefault="002E7E52" w:rsidP="00063463">
      <w:r>
        <w:t xml:space="preserve">Barnes continued to be embroiled in court cases, writs and counter writs over his refusal to license patrons’ nominees to benefices because of their sacramental attitudes. Many of the orthodox also resented his evolutionary theories, which made headlines regularly (more on this later). During the Second World War he was sued for slander by the Cement Maker’s Federation, which he had accused publicly of wartime profiteering. (He lost the case but continued to attack them in the House of Lords). His 1947 book </w:t>
      </w:r>
      <w:r>
        <w:rPr>
          <w:i/>
        </w:rPr>
        <w:t>The Rise of Christianity</w:t>
      </w:r>
      <w:r w:rsidR="000F3E88">
        <w:t xml:space="preserve"> “aroused fierce opposition for his denial of miracles and his disparaging treatment of St. Paul.</w:t>
      </w:r>
      <w:r w:rsidR="00816D02">
        <w:t xml:space="preserve"> Barnes’s grasp of New Testament criticism was slight, confused and outdated, and even his fellow modernists were embarrassed by the book”. Archbishop Fisher was pressured to make a condemnation</w:t>
      </w:r>
      <w:r w:rsidR="00EA4BB7">
        <w:t xml:space="preserve"> of the book. He</w:t>
      </w:r>
      <w:r w:rsidR="00816D02">
        <w:t xml:space="preserve"> compromised by making strong criticisms and hinting that Barnes should reconsider his episcopal office in the church. Barnes ignored this </w:t>
      </w:r>
      <w:r w:rsidR="00B77826">
        <w:t xml:space="preserve">hint </w:t>
      </w:r>
      <w:r w:rsidR="00816D02">
        <w:t>and made “a defiant personal statement in the House of Bishops”</w:t>
      </w:r>
      <w:r w:rsidR="00EA4BB7">
        <w:t xml:space="preserve"> </w:t>
      </w:r>
      <w:r w:rsidR="00816D02">
        <w:t>(</w:t>
      </w:r>
      <w:r w:rsidR="00816D02">
        <w:rPr>
          <w:i/>
        </w:rPr>
        <w:t>Oxford DNB</w:t>
      </w:r>
      <w:r w:rsidR="00816D02">
        <w:t>).</w:t>
      </w:r>
    </w:p>
    <w:p w14:paraId="0A1CC52F" w14:textId="5C081C41" w:rsidR="00D55BCA" w:rsidRDefault="00D55BCA" w:rsidP="00063463">
      <w:r>
        <w:t>He continued his strange mixture of progressivism and reaction. He supported divorce law reform and the ordination of women, but on eugenic grounds</w:t>
      </w:r>
      <w:r w:rsidR="00856274">
        <w:t xml:space="preserve"> opposed Commonwealth immigration to Birmingham in the 1950s. The </w:t>
      </w:r>
      <w:r w:rsidR="00856274">
        <w:rPr>
          <w:i/>
        </w:rPr>
        <w:t>Oxford DNB</w:t>
      </w:r>
      <w:r w:rsidR="00856274">
        <w:t xml:space="preserve"> concludes that Barnes was “a very unusual type of prelate: a stormy petrel of the episcopate…Thorny and unbending in controversy…, he was none the less personally charming and manifestly a man of the highest character and purpose… in the later phases of his episcopate he mellowed appreciably…His was a complicated and many-sided character</w:t>
      </w:r>
      <w:r w:rsidR="001757B7">
        <w:t>; he could be shy and awkward, but he was inwardly eager for friendship and capable of great personal kindness”. He died in 1953 and his ashes were interred in Birmingham Cathedral.</w:t>
      </w:r>
    </w:p>
    <w:p w14:paraId="5BC2593F" w14:textId="54E3A086" w:rsidR="0004699F" w:rsidRDefault="008542F5" w:rsidP="00063463">
      <w:r>
        <w:rPr>
          <w:b/>
        </w:rPr>
        <w:t>S</w:t>
      </w:r>
      <w:r w:rsidR="0004699F" w:rsidRPr="0004699F">
        <w:rPr>
          <w:b/>
        </w:rPr>
        <w:t xml:space="preserve">cience and Christianity: </w:t>
      </w:r>
      <w:r w:rsidR="0004699F">
        <w:rPr>
          <w:b/>
        </w:rPr>
        <w:t xml:space="preserve"> The Early Essays</w:t>
      </w:r>
    </w:p>
    <w:p w14:paraId="586965BE" w14:textId="1E56F75F" w:rsidR="0004699F" w:rsidRDefault="0004699F" w:rsidP="00063463">
      <w:r>
        <w:t xml:space="preserve">Many scientists in the early twentieth century felt a sense of frustration that the churches – even the liberal ones - had an outmoded view of science that coloured their religious attitudes. Barnes became one of </w:t>
      </w:r>
      <w:r w:rsidR="008542F5">
        <w:t>these scientists</w:t>
      </w:r>
      <w:r w:rsidR="00E25D50">
        <w:t xml:space="preserve"> </w:t>
      </w:r>
      <w:r w:rsidR="008542F5">
        <w:t>’</w:t>
      </w:r>
      <w:r>
        <w:t xml:space="preserve">most assertive spokesmen from the start. Let us take for example a sermon he preached in Liverpool Cathedral in 1923 </w:t>
      </w:r>
      <w:r w:rsidR="003411CE">
        <w:t>on</w:t>
      </w:r>
      <w:r>
        <w:t xml:space="preserve"> the visit of the British Association</w:t>
      </w:r>
      <w:r w:rsidR="003411CE">
        <w:t xml:space="preserve"> to that city.</w:t>
      </w:r>
      <w:r w:rsidR="003411CE">
        <w:rPr>
          <w:rStyle w:val="FootnoteReference"/>
        </w:rPr>
        <w:footnoteReference w:id="13"/>
      </w:r>
      <w:r w:rsidR="001927FC">
        <w:t xml:space="preserve"> </w:t>
      </w:r>
      <w:r w:rsidR="00B35C54">
        <w:t>He was to stick to the essential position he took in this address for the rest of his life.</w:t>
      </w:r>
    </w:p>
    <w:p w14:paraId="6FEE2712" w14:textId="44B08963" w:rsidR="00B35C54" w:rsidRDefault="00B35C54" w:rsidP="00063463">
      <w:r>
        <w:t xml:space="preserve">Barnes put it like this. All religions were dynamic, not static, encountering constant challenges, and profound changes in the ideas and feelings of humans in the cultures surrounding them. Christianity </w:t>
      </w:r>
      <w:r w:rsidR="002225F0">
        <w:t>in the nineteenth century had witnessed a movement of human thought as influential as that of Renaissance humanism.</w:t>
      </w:r>
      <w:r>
        <w:t xml:space="preserve"> </w:t>
      </w:r>
      <w:r w:rsidR="002225F0">
        <w:t xml:space="preserve">The scientific revolution of modern times had revolutionised the worldview </w:t>
      </w:r>
      <w:r w:rsidR="002225F0">
        <w:lastRenderedPageBreak/>
        <w:t>of the educated globe, profoundly affecting religion. Unfortunately, Christianity had a record of opposing new scientific concepts. The widespread belief now was that theology had lost every battle in this war of ideas. Religion was in danger of being totally worsted by secularism</w:t>
      </w:r>
      <w:r w:rsidR="00FA7C68">
        <w:t xml:space="preserve"> because it was still saddled with “mythological accretions”. It would need to rid itself of these unadaptive characters if it was to survive the struggle for existence. This was possible: “Amid all change its essential character is preserved, for it rests on historical facts combined with permanent intuitions and continually repeated experience of the human spirit”. In stressing reason Barnes was not denying faith. Faith was “a necessity of existence”. But faith need</w:t>
      </w:r>
      <w:r w:rsidR="008542F5">
        <w:t>ed</w:t>
      </w:r>
      <w:r w:rsidR="00FA7C68">
        <w:t xml:space="preserve"> to be reasonable, not bli</w:t>
      </w:r>
      <w:r w:rsidR="00C23A63">
        <w:t>n</w:t>
      </w:r>
      <w:r w:rsidR="00FA7C68">
        <w:t>d.</w:t>
      </w:r>
    </w:p>
    <w:p w14:paraId="333CFF25" w14:textId="44B168EC" w:rsidR="008A01A9" w:rsidRDefault="008A01A9" w:rsidP="00063463">
      <w:r>
        <w:t xml:space="preserve">Barnes went on to argue that the </w:t>
      </w:r>
      <w:r w:rsidR="00121039">
        <w:t xml:space="preserve">scientific </w:t>
      </w:r>
      <w:r>
        <w:t xml:space="preserve">method was compatible with views of a higher being: “As we pass from science to philosophy and religion, we have to assume the existence of a universal Mind </w:t>
      </w:r>
      <w:proofErr w:type="gramStart"/>
      <w:r>
        <w:t>in order to</w:t>
      </w:r>
      <w:proofErr w:type="gramEnd"/>
      <w:r>
        <w:t xml:space="preserve"> bind together the sequences of phenomena which science observes and describes. Then, as the basis of religious faith, we further assume that the values, which we instinctively deem supreme, express the quality of this Mind to whom all natural process is due. We thus assert that goodness, beauty, and truth are not private values of humanity, but attributes of God”.</w:t>
      </w:r>
    </w:p>
    <w:p w14:paraId="52E547F6" w14:textId="1172BCFD" w:rsidR="008E786A" w:rsidRDefault="00082CF9" w:rsidP="00063463">
      <w:r>
        <w:t xml:space="preserve">While this was true, science had created a new cosmogony, and theology had yet to come properly to terms with it. Old modes of argument and their attendant dogmas had rapidly become obsolete. Barnes discerned a great gulf between “constructive and merely defensive types of theology”. As a result, there was much confusion among religious communities, “fear of change combined with recognition of its necessity”. Barnes knew a lot about this, having listened to such sentiments from his parishioners and from writers to the newspapers he wrote for. </w:t>
      </w:r>
      <w:r w:rsidR="008E786A">
        <w:t>Religion had come to terms</w:t>
      </w:r>
      <w:r w:rsidR="00121039">
        <w:t xml:space="preserve"> with</w:t>
      </w:r>
      <w:r w:rsidR="008E786A">
        <w:t xml:space="preserve"> astronomy’s discovery that the earth was not the centre of the earth, as the old theology held. Now it need</w:t>
      </w:r>
      <w:r w:rsidR="00997A11">
        <w:t>ed</w:t>
      </w:r>
      <w:r w:rsidR="008E786A">
        <w:t xml:space="preserve"> to incorporate into any dogmatic scheme of faith such facts as those of evolution, the disturbing idea that humanity was a derivative of lower forms of life.</w:t>
      </w:r>
    </w:p>
    <w:p w14:paraId="21E0C84C" w14:textId="6CC32CC9" w:rsidR="00082CF9" w:rsidRDefault="008E786A" w:rsidP="00063463">
      <w:r>
        <w:t>True, modern liberal theology claimed to have come to terms with evolutionary theory</w:t>
      </w:r>
      <w:r w:rsidR="00537E57">
        <w:t>. But in this area, and others, the influence of the scientific method – with its induction, clarity, and neutral investigation – had not yet made itself fully felt.</w:t>
      </w:r>
      <w:r w:rsidR="00EE7DBF">
        <w:t xml:space="preserve"> Obscurantism still flourished. So did the attendant dissatisfaction of young scientists and intellectuals generally.</w:t>
      </w:r>
      <w:r>
        <w:t xml:space="preserve"> </w:t>
      </w:r>
      <w:r w:rsidR="00997A11">
        <w:t>Any reconciliation between science and religion depended upon more intensive use of the scientific method. Barnes concluded with an appeal to scientists, such as those at the B</w:t>
      </w:r>
      <w:r w:rsidR="00121039">
        <w:t xml:space="preserve">ritish </w:t>
      </w:r>
      <w:r w:rsidR="00997A11">
        <w:t>A</w:t>
      </w:r>
      <w:r w:rsidR="00121039">
        <w:t>ssociation</w:t>
      </w:r>
      <w:r w:rsidR="00997A11">
        <w:t xml:space="preserve"> conference, to open their eyes to the unique power of Christianity, at its best, to serve </w:t>
      </w:r>
      <w:r w:rsidR="00F93AF8">
        <w:t>humanity</w:t>
      </w:r>
      <w:r w:rsidR="00997A11">
        <w:t>. He appealed to</w:t>
      </w:r>
      <w:r w:rsidR="00F93AF8">
        <w:t xml:space="preserve"> religious scientists, committed to moral integrity and honesty, “to set forth their religious ideals, to show how, in their own minds, Christianity and science interact …I am convinced the essentials of Christianity will survive by their own inherent strength”.</w:t>
      </w:r>
      <w:r w:rsidR="00363763">
        <w:t xml:space="preserve"> </w:t>
      </w:r>
    </w:p>
    <w:p w14:paraId="4BE69A96" w14:textId="2061A3DF" w:rsidR="00082CF9" w:rsidRDefault="00082CF9" w:rsidP="00063463"/>
    <w:p w14:paraId="72CEE08F" w14:textId="0589B401" w:rsidR="00082CF9" w:rsidRDefault="00082CF9" w:rsidP="00063463"/>
    <w:p w14:paraId="0ECB4D21" w14:textId="5CA00A8B" w:rsidR="00082CF9" w:rsidRPr="0004699F" w:rsidRDefault="00082CF9" w:rsidP="00063463"/>
    <w:sectPr w:rsidR="00082CF9" w:rsidRPr="0004699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6C5371" w14:textId="77777777" w:rsidR="004855FB" w:rsidRDefault="004855FB" w:rsidP="003411CE">
      <w:pPr>
        <w:spacing w:after="0" w:line="240" w:lineRule="auto"/>
      </w:pPr>
      <w:r>
        <w:separator/>
      </w:r>
    </w:p>
  </w:endnote>
  <w:endnote w:type="continuationSeparator" w:id="0">
    <w:p w14:paraId="24D08F4D" w14:textId="77777777" w:rsidR="004855FB" w:rsidRDefault="004855FB" w:rsidP="00341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80480" w14:textId="77777777" w:rsidR="00E346BD" w:rsidRDefault="00E346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5056742"/>
      <w:docPartObj>
        <w:docPartGallery w:val="Page Numbers (Bottom of Page)"/>
        <w:docPartUnique/>
      </w:docPartObj>
    </w:sdtPr>
    <w:sdtEndPr>
      <w:rPr>
        <w:noProof/>
      </w:rPr>
    </w:sdtEndPr>
    <w:sdtContent>
      <w:p w14:paraId="6975D2B6" w14:textId="6AF52819" w:rsidR="00E346BD" w:rsidRDefault="00E346B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7B3951" w14:textId="77777777" w:rsidR="00E346BD" w:rsidRDefault="00E346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027D1" w14:textId="77777777" w:rsidR="00E346BD" w:rsidRDefault="00E346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0B54E" w14:textId="77777777" w:rsidR="004855FB" w:rsidRDefault="004855FB" w:rsidP="003411CE">
      <w:pPr>
        <w:spacing w:after="0" w:line="240" w:lineRule="auto"/>
      </w:pPr>
      <w:r>
        <w:separator/>
      </w:r>
    </w:p>
  </w:footnote>
  <w:footnote w:type="continuationSeparator" w:id="0">
    <w:p w14:paraId="6E75D431" w14:textId="77777777" w:rsidR="004855FB" w:rsidRDefault="004855FB" w:rsidP="003411CE">
      <w:pPr>
        <w:spacing w:after="0" w:line="240" w:lineRule="auto"/>
      </w:pPr>
      <w:r>
        <w:continuationSeparator/>
      </w:r>
    </w:p>
  </w:footnote>
  <w:footnote w:id="1">
    <w:p w14:paraId="006B5961" w14:textId="4431369D" w:rsidR="00E25D50" w:rsidRPr="00363763" w:rsidRDefault="00E25D50">
      <w:pPr>
        <w:pStyle w:val="FootnoteText"/>
      </w:pPr>
      <w:r>
        <w:rPr>
          <w:rStyle w:val="FootnoteReference"/>
        </w:rPr>
        <w:footnoteRef/>
      </w:r>
      <w:r>
        <w:t xml:space="preserve"> </w:t>
      </w:r>
      <w:r w:rsidR="00E32F36">
        <w:t>For his life s</w:t>
      </w:r>
      <w:r>
        <w:t xml:space="preserve">ee </w:t>
      </w:r>
      <w:r w:rsidR="00E32F36">
        <w:t xml:space="preserve">the </w:t>
      </w:r>
      <w:r>
        <w:t xml:space="preserve">entry on Barnes in </w:t>
      </w:r>
      <w:r>
        <w:rPr>
          <w:i/>
        </w:rPr>
        <w:t>Oxford DNB</w:t>
      </w:r>
      <w:r>
        <w:t xml:space="preserve"> (by A. E. J. Rawlinson, revised by Matthew Grimley)</w:t>
      </w:r>
      <w:r w:rsidR="0020232E">
        <w:t xml:space="preserve">; the biography by his son John Barnes, </w:t>
      </w:r>
      <w:r w:rsidR="0020232E">
        <w:rPr>
          <w:i/>
        </w:rPr>
        <w:t>Ahead of his Age: Bishop Barnes of Birmingham</w:t>
      </w:r>
      <w:r w:rsidR="0020232E">
        <w:t xml:space="preserve"> (1979);</w:t>
      </w:r>
      <w:r>
        <w:t xml:space="preserve"> and the recent book by</w:t>
      </w:r>
      <w:r w:rsidR="00363763">
        <w:t xml:space="preserve"> P. T. Merricks, </w:t>
      </w:r>
      <w:r w:rsidR="00363763">
        <w:rPr>
          <w:i/>
        </w:rPr>
        <w:t>Religi</w:t>
      </w:r>
      <w:r w:rsidR="0020232E">
        <w:rPr>
          <w:i/>
        </w:rPr>
        <w:t>on</w:t>
      </w:r>
      <w:r w:rsidR="00363763">
        <w:rPr>
          <w:i/>
        </w:rPr>
        <w:t xml:space="preserve"> and Racial Progress in Twentieth-Century Britain:</w:t>
      </w:r>
      <w:r w:rsidR="00E32F36">
        <w:rPr>
          <w:i/>
        </w:rPr>
        <w:t xml:space="preserve"> Bishop Barnes of Birmingham</w:t>
      </w:r>
      <w:r w:rsidR="00E32F36">
        <w:t xml:space="preserve"> (London, Palgrave, 2017)</w:t>
      </w:r>
      <w:r w:rsidR="00363763">
        <w:rPr>
          <w:i/>
        </w:rPr>
        <w:t>.</w:t>
      </w:r>
    </w:p>
  </w:footnote>
  <w:footnote w:id="2">
    <w:p w14:paraId="6888D020" w14:textId="308AAFF3" w:rsidR="0020232E" w:rsidRPr="0020232E" w:rsidRDefault="0020232E">
      <w:pPr>
        <w:pStyle w:val="FootnoteText"/>
      </w:pPr>
      <w:r>
        <w:rPr>
          <w:rStyle w:val="FootnoteReference"/>
        </w:rPr>
        <w:footnoteRef/>
      </w:r>
      <w:r>
        <w:t xml:space="preserve"> For this see Stephen Parker, “’Blessed are the Pacifists’: E. W. Barnes of Birmingham and Pacifism, 1914-45”, </w:t>
      </w:r>
      <w:r>
        <w:rPr>
          <w:i/>
        </w:rPr>
        <w:t>Midland History</w:t>
      </w:r>
      <w:r>
        <w:t>, 34, 2 (2009), pp.204-219. I have taken some material for what follows from this excellent article.</w:t>
      </w:r>
    </w:p>
  </w:footnote>
  <w:footnote w:id="3">
    <w:p w14:paraId="5DE049C6" w14:textId="25126C10" w:rsidR="007B5389" w:rsidRDefault="007B5389">
      <w:pPr>
        <w:pStyle w:val="FootnoteText"/>
      </w:pPr>
      <w:r>
        <w:rPr>
          <w:rStyle w:val="FootnoteReference"/>
        </w:rPr>
        <w:footnoteRef/>
      </w:r>
      <w:r>
        <w:t xml:space="preserve"> Parker, “Blessed”, p.206</w:t>
      </w:r>
      <w:r w:rsidR="00B15BA5">
        <w:t>; previous quote p. 205</w:t>
      </w:r>
      <w:r>
        <w:t>.</w:t>
      </w:r>
    </w:p>
  </w:footnote>
  <w:footnote w:id="4">
    <w:p w14:paraId="51C46925" w14:textId="33B3EFFE" w:rsidR="009849DF" w:rsidRPr="009849DF" w:rsidRDefault="009849DF">
      <w:pPr>
        <w:pStyle w:val="FootnoteText"/>
      </w:pPr>
      <w:r>
        <w:rPr>
          <w:rStyle w:val="FootnoteReference"/>
        </w:rPr>
        <w:footnoteRef/>
      </w:r>
      <w:r>
        <w:t xml:space="preserve"> </w:t>
      </w:r>
      <w:r w:rsidR="00296A64">
        <w:t>For more</w:t>
      </w:r>
      <w:r w:rsidR="007F1721">
        <w:t xml:space="preserve"> on eugenics</w:t>
      </w:r>
      <w:r w:rsidR="00296A64">
        <w:t xml:space="preserve"> </w:t>
      </w:r>
      <w:r w:rsidR="007F1721">
        <w:t>see</w:t>
      </w:r>
      <w:r>
        <w:t xml:space="preserve"> my books </w:t>
      </w:r>
      <w:r>
        <w:rPr>
          <w:i/>
        </w:rPr>
        <w:t>Darwinism, War and History</w:t>
      </w:r>
      <w:r>
        <w:t xml:space="preserve"> and </w:t>
      </w:r>
      <w:r>
        <w:rPr>
          <w:i/>
        </w:rPr>
        <w:t>Darwin’s Coat-Tails</w:t>
      </w:r>
      <w:r>
        <w:t>.</w:t>
      </w:r>
    </w:p>
  </w:footnote>
  <w:footnote w:id="5">
    <w:p w14:paraId="5D668C17" w14:textId="3EBE9D4C" w:rsidR="007E385C" w:rsidRPr="007E385C" w:rsidRDefault="007E385C">
      <w:pPr>
        <w:pStyle w:val="FootnoteText"/>
      </w:pPr>
      <w:r>
        <w:rPr>
          <w:rStyle w:val="FootnoteReference"/>
        </w:rPr>
        <w:footnoteRef/>
      </w:r>
      <w:r>
        <w:t xml:space="preserve"> For a searing indictment of eugenic practices in the US, which provided a model for Hitler’s programme of “eugenic cleansing” and the Holocaust, see Irwin Black, </w:t>
      </w:r>
      <w:r>
        <w:rPr>
          <w:i/>
        </w:rPr>
        <w:t>War Against the Weak: Eugenics and America’s Campaign to Create a Master Race</w:t>
      </w:r>
      <w:r>
        <w:t xml:space="preserve"> (New York, London, Four Walls Eight Windows, 2003).</w:t>
      </w:r>
    </w:p>
  </w:footnote>
  <w:footnote w:id="6">
    <w:p w14:paraId="269D33ED" w14:textId="52E2A260" w:rsidR="00BC51DD" w:rsidRDefault="00BC51DD">
      <w:pPr>
        <w:pStyle w:val="FootnoteText"/>
      </w:pPr>
      <w:r>
        <w:rPr>
          <w:rStyle w:val="FootnoteReference"/>
        </w:rPr>
        <w:footnoteRef/>
      </w:r>
      <w:r>
        <w:t xml:space="preserve"> Sermon of April 1945, quoted Parker “Blessed”, p. 209. As Parker says: “Barnes believed that eugenics was a positive tool by which one might assist God in the evolutionary process and in bringing about the Kingdom of God on earth”p.209). </w:t>
      </w:r>
    </w:p>
  </w:footnote>
  <w:footnote w:id="7">
    <w:p w14:paraId="2CA60CF3" w14:textId="58308F06" w:rsidR="00CF719D" w:rsidRPr="00CF719D" w:rsidRDefault="00CF719D">
      <w:pPr>
        <w:pStyle w:val="FootnoteText"/>
      </w:pPr>
      <w:r>
        <w:rPr>
          <w:rStyle w:val="FootnoteReference"/>
        </w:rPr>
        <w:footnoteRef/>
      </w:r>
      <w:r>
        <w:t xml:space="preserve"> I have written about the “Catholic Modernists” George Tyrrell and Maude Petre in my recent book </w:t>
      </w:r>
      <w:r w:rsidRPr="00CF719D">
        <w:rPr>
          <w:i/>
        </w:rPr>
        <w:t>Intellectuals and the Decline of Religion</w:t>
      </w:r>
      <w:r>
        <w:t xml:space="preserve"> (Boolarong Press, Brisbane, 2017), </w:t>
      </w:r>
      <w:r w:rsidR="0097724E">
        <w:t>E</w:t>
      </w:r>
      <w:r>
        <w:t>ssay</w:t>
      </w:r>
      <w:r w:rsidR="0097724E">
        <w:t xml:space="preserve"> 2 (see this for more references on the topic of modernism, on which there is a vast literature).</w:t>
      </w:r>
      <w:r w:rsidR="00E8738C">
        <w:t xml:space="preserve"> Barnes regarded Hastings Rashdall and F. J. A. Hort as the greatest figures in English Modernist theology (foreword to his </w:t>
      </w:r>
      <w:r w:rsidR="00E8738C">
        <w:rPr>
          <w:i/>
        </w:rPr>
        <w:t>Scientific Theory and Religion</w:t>
      </w:r>
      <w:r w:rsidR="00E8738C">
        <w:t xml:space="preserve">,1933). </w:t>
      </w:r>
    </w:p>
  </w:footnote>
  <w:footnote w:id="8">
    <w:p w14:paraId="50CE6983" w14:textId="64363AEB" w:rsidR="00E955C4" w:rsidRPr="001218AB" w:rsidRDefault="00E955C4">
      <w:pPr>
        <w:pStyle w:val="FootnoteText"/>
      </w:pPr>
      <w:r>
        <w:rPr>
          <w:rStyle w:val="FootnoteReference"/>
        </w:rPr>
        <w:footnoteRef/>
      </w:r>
      <w:r>
        <w:t xml:space="preserve"> Peter J. Bowler, “Evolution and the Eucharist: Bishop E. W. Barnes on Science and Religion in the 1920s and 1930s”, </w:t>
      </w:r>
      <w:r w:rsidR="001218AB">
        <w:rPr>
          <w:i/>
        </w:rPr>
        <w:t>British Society for the History of Science</w:t>
      </w:r>
      <w:r w:rsidR="001218AB">
        <w:t xml:space="preserve">, 31, 4 (1998), p.457. I have taken some of the following material from this </w:t>
      </w:r>
      <w:r w:rsidR="00C90102">
        <w:t>admirable</w:t>
      </w:r>
      <w:r w:rsidR="001218AB">
        <w:t xml:space="preserve"> article.</w:t>
      </w:r>
    </w:p>
  </w:footnote>
  <w:footnote w:id="9">
    <w:p w14:paraId="65538CB0" w14:textId="412C79FF" w:rsidR="005A3554" w:rsidRDefault="005A3554">
      <w:pPr>
        <w:pStyle w:val="FootnoteText"/>
      </w:pPr>
      <w:r>
        <w:rPr>
          <w:rStyle w:val="FootnoteReference"/>
        </w:rPr>
        <w:footnoteRef/>
      </w:r>
      <w:r>
        <w:t xml:space="preserve"> Ibid., p.457.</w:t>
      </w:r>
    </w:p>
  </w:footnote>
  <w:footnote w:id="10">
    <w:p w14:paraId="6EC7A189" w14:textId="11E711E6" w:rsidR="005772C7" w:rsidRPr="004018A6" w:rsidRDefault="005772C7">
      <w:pPr>
        <w:pStyle w:val="FootnoteText"/>
      </w:pPr>
      <w:r>
        <w:rPr>
          <w:rStyle w:val="FootnoteReference"/>
        </w:rPr>
        <w:footnoteRef/>
      </w:r>
      <w:r>
        <w:t xml:space="preserve"> See my essay on Vidler in my</w:t>
      </w:r>
      <w:r w:rsidR="004018A6">
        <w:t xml:space="preserve"> </w:t>
      </w:r>
      <w:r w:rsidR="004018A6">
        <w:rPr>
          <w:i/>
        </w:rPr>
        <w:t>Intellectuals and the Decline of Religion</w:t>
      </w:r>
      <w:r w:rsidR="004018A6">
        <w:t xml:space="preserve"> (Boolarong Press, Brisbane, 2017), Essay 10. He was a friend of Malcolm Muggeridge, at that time an atheist, but later a convert to Catholicism.</w:t>
      </w:r>
    </w:p>
  </w:footnote>
  <w:footnote w:id="11">
    <w:p w14:paraId="1DB102F4" w14:textId="58F2E20C" w:rsidR="00B62AA8" w:rsidRPr="00030162" w:rsidRDefault="00B62AA8">
      <w:pPr>
        <w:pStyle w:val="FootnoteText"/>
      </w:pPr>
      <w:r>
        <w:rPr>
          <w:rStyle w:val="FootnoteReference"/>
        </w:rPr>
        <w:footnoteRef/>
      </w:r>
      <w:r>
        <w:t xml:space="preserve"> Barnes did not believe in the “real presence “of the body and blood of Christ in the bread and wine of the eucharist. This was a</w:t>
      </w:r>
      <w:r w:rsidR="00521896">
        <w:t>n ancient</w:t>
      </w:r>
      <w:r>
        <w:t xml:space="preserve"> Christian belief which, despite the Reformation, was still official Anglican doctrine.</w:t>
      </w:r>
      <w:r w:rsidR="00521896">
        <w:t xml:space="preserve"> </w:t>
      </w:r>
      <w:r>
        <w:t xml:space="preserve"> Many Anglican clergy did, however, </w:t>
      </w:r>
      <w:r w:rsidR="00525F99">
        <w:t xml:space="preserve">prefer the concept of </w:t>
      </w:r>
      <w:r>
        <w:t>a symbolic rather than a real objective presence. As</w:t>
      </w:r>
      <w:r w:rsidR="00521896">
        <w:t xml:space="preserve"> it has been put</w:t>
      </w:r>
      <w:r>
        <w:t>, the specific form of the belief ranged from a corporeal presence (a real objective presence), sometimes even with Eucharistic adoration (Anglo-Catholic practice) to belief in a “</w:t>
      </w:r>
      <w:r w:rsidR="00521896">
        <w:t>pneumatic presence”</w:t>
      </w:r>
      <w:r>
        <w:t xml:space="preserve"> </w:t>
      </w:r>
      <w:r w:rsidR="00521896">
        <w:t>(Low Church Anglican). Barnes based his stance on the absence of scientific proof of a presence (although traditional doctrine did not regard this as a</w:t>
      </w:r>
      <w:r w:rsidR="001C7E96">
        <w:t>n impediment</w:t>
      </w:r>
      <w:r w:rsidR="00521896">
        <w:t>): [Wikipedia].</w:t>
      </w:r>
      <w:r w:rsidR="006F1CDD">
        <w:t xml:space="preserve"> Barnes discuss</w:t>
      </w:r>
      <w:r w:rsidR="00030162">
        <w:t xml:space="preserve">ed the issue in his </w:t>
      </w:r>
      <w:r w:rsidR="00525F99">
        <w:t xml:space="preserve">collection of sermons </w:t>
      </w:r>
      <w:r w:rsidR="00030162">
        <w:rPr>
          <w:i/>
        </w:rPr>
        <w:t xml:space="preserve">Should Such a Faith Offend? </w:t>
      </w:r>
      <w:r w:rsidR="00030162">
        <w:t>(London, 1927).</w:t>
      </w:r>
    </w:p>
  </w:footnote>
  <w:footnote w:id="12">
    <w:p w14:paraId="10770B91" w14:textId="5FDA0AF0" w:rsidR="000D1695" w:rsidRDefault="000D1695">
      <w:pPr>
        <w:pStyle w:val="FootnoteText"/>
      </w:pPr>
      <w:r>
        <w:rPr>
          <w:rStyle w:val="FootnoteReference"/>
        </w:rPr>
        <w:footnoteRef/>
      </w:r>
      <w:r>
        <w:t xml:space="preserve"> Bowler, “Evolution and the Eucharist”, p.459. </w:t>
      </w:r>
      <w:r>
        <w:t xml:space="preserve">Karl Barth and others were theologically emphasising “the potential for evil that lay at the heart of the human </w:t>
      </w:r>
      <w:r w:rsidR="008B5503">
        <w:t xml:space="preserve">situation” </w:t>
      </w:r>
      <w:r w:rsidR="008B5503">
        <w:t>(</w:t>
      </w:r>
      <w:bookmarkStart w:id="0" w:name="_GoBack"/>
      <w:bookmarkEnd w:id="0"/>
      <w:r>
        <w:t>ibid).</w:t>
      </w:r>
    </w:p>
  </w:footnote>
  <w:footnote w:id="13">
    <w:p w14:paraId="0DA7BB7A" w14:textId="5920B5E6" w:rsidR="003411CE" w:rsidRPr="003411CE" w:rsidRDefault="003411CE">
      <w:pPr>
        <w:pStyle w:val="FootnoteText"/>
      </w:pPr>
      <w:r>
        <w:rPr>
          <w:rStyle w:val="FootnoteReference"/>
        </w:rPr>
        <w:footnoteRef/>
      </w:r>
      <w:r>
        <w:t xml:space="preserve"> Canon E. W. Barnes, “The Infl</w:t>
      </w:r>
      <w:r w:rsidR="00C23A63">
        <w:t>u</w:t>
      </w:r>
      <w:r w:rsidR="00FA7C68">
        <w:t>e</w:t>
      </w:r>
      <w:r>
        <w:t xml:space="preserve">nce of Science on Christianity”, </w:t>
      </w:r>
      <w:r>
        <w:rPr>
          <w:i/>
        </w:rPr>
        <w:t>Nature</w:t>
      </w:r>
      <w:r>
        <w:t xml:space="preserve"> ,112 (29 September 1923), pp.477-478.  Following quotes from this article. Barnes became bishop the following year.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4AA87" w14:textId="77777777" w:rsidR="00E346BD" w:rsidRDefault="00E346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269A2" w14:textId="77777777" w:rsidR="00E346BD" w:rsidRDefault="00E346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67340" w14:textId="77777777" w:rsidR="00E346BD" w:rsidRDefault="00E346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FD3"/>
    <w:rsid w:val="00030162"/>
    <w:rsid w:val="0004699F"/>
    <w:rsid w:val="00054FEA"/>
    <w:rsid w:val="0006013E"/>
    <w:rsid w:val="00063463"/>
    <w:rsid w:val="00074D05"/>
    <w:rsid w:val="00076788"/>
    <w:rsid w:val="00082CF9"/>
    <w:rsid w:val="000D1695"/>
    <w:rsid w:val="000D2C7A"/>
    <w:rsid w:val="000F3E88"/>
    <w:rsid w:val="00104FD3"/>
    <w:rsid w:val="00121039"/>
    <w:rsid w:val="001218AB"/>
    <w:rsid w:val="00164DCC"/>
    <w:rsid w:val="001757B7"/>
    <w:rsid w:val="00191DDC"/>
    <w:rsid w:val="001927FC"/>
    <w:rsid w:val="001A11AF"/>
    <w:rsid w:val="001C7E96"/>
    <w:rsid w:val="001D3299"/>
    <w:rsid w:val="001D5E2D"/>
    <w:rsid w:val="0020232E"/>
    <w:rsid w:val="00202ADE"/>
    <w:rsid w:val="002225F0"/>
    <w:rsid w:val="00265087"/>
    <w:rsid w:val="00265487"/>
    <w:rsid w:val="0027175F"/>
    <w:rsid w:val="00280C6F"/>
    <w:rsid w:val="00284B26"/>
    <w:rsid w:val="00296A64"/>
    <w:rsid w:val="002C023F"/>
    <w:rsid w:val="002D5495"/>
    <w:rsid w:val="002D7A9A"/>
    <w:rsid w:val="002E7E52"/>
    <w:rsid w:val="00324E30"/>
    <w:rsid w:val="003411CE"/>
    <w:rsid w:val="00363763"/>
    <w:rsid w:val="003659B9"/>
    <w:rsid w:val="003B0170"/>
    <w:rsid w:val="003C3B6A"/>
    <w:rsid w:val="004018A6"/>
    <w:rsid w:val="00430AE8"/>
    <w:rsid w:val="004855FB"/>
    <w:rsid w:val="004910D2"/>
    <w:rsid w:val="0049307C"/>
    <w:rsid w:val="004E3100"/>
    <w:rsid w:val="00521896"/>
    <w:rsid w:val="00525F99"/>
    <w:rsid w:val="00537E57"/>
    <w:rsid w:val="00553236"/>
    <w:rsid w:val="00567395"/>
    <w:rsid w:val="005772C7"/>
    <w:rsid w:val="00593EA6"/>
    <w:rsid w:val="005A3554"/>
    <w:rsid w:val="005B5DE1"/>
    <w:rsid w:val="005E7DE5"/>
    <w:rsid w:val="005F4EF5"/>
    <w:rsid w:val="005F6E1D"/>
    <w:rsid w:val="0060797F"/>
    <w:rsid w:val="006D7D45"/>
    <w:rsid w:val="006F0782"/>
    <w:rsid w:val="006F1CDD"/>
    <w:rsid w:val="007B5389"/>
    <w:rsid w:val="007C0E14"/>
    <w:rsid w:val="007E385C"/>
    <w:rsid w:val="007F1721"/>
    <w:rsid w:val="00816D02"/>
    <w:rsid w:val="008542F5"/>
    <w:rsid w:val="00856274"/>
    <w:rsid w:val="0086357B"/>
    <w:rsid w:val="008652E4"/>
    <w:rsid w:val="008A01A9"/>
    <w:rsid w:val="008B5503"/>
    <w:rsid w:val="008D0C46"/>
    <w:rsid w:val="008D1E3B"/>
    <w:rsid w:val="008D6977"/>
    <w:rsid w:val="008E786A"/>
    <w:rsid w:val="00922BCA"/>
    <w:rsid w:val="0094502A"/>
    <w:rsid w:val="009546A6"/>
    <w:rsid w:val="0097724E"/>
    <w:rsid w:val="009775F5"/>
    <w:rsid w:val="009800BC"/>
    <w:rsid w:val="0098380E"/>
    <w:rsid w:val="009849DF"/>
    <w:rsid w:val="00992906"/>
    <w:rsid w:val="00997A11"/>
    <w:rsid w:val="009F29FD"/>
    <w:rsid w:val="00A0458A"/>
    <w:rsid w:val="00A52E21"/>
    <w:rsid w:val="00A55B1A"/>
    <w:rsid w:val="00A72B3D"/>
    <w:rsid w:val="00AB1A29"/>
    <w:rsid w:val="00AC1189"/>
    <w:rsid w:val="00AE353D"/>
    <w:rsid w:val="00B133BB"/>
    <w:rsid w:val="00B15BA5"/>
    <w:rsid w:val="00B321B1"/>
    <w:rsid w:val="00B35C54"/>
    <w:rsid w:val="00B50F6C"/>
    <w:rsid w:val="00B62AA8"/>
    <w:rsid w:val="00B67077"/>
    <w:rsid w:val="00B77826"/>
    <w:rsid w:val="00B778BF"/>
    <w:rsid w:val="00B8412A"/>
    <w:rsid w:val="00BC4F21"/>
    <w:rsid w:val="00BC51DD"/>
    <w:rsid w:val="00C01315"/>
    <w:rsid w:val="00C23A63"/>
    <w:rsid w:val="00C43B31"/>
    <w:rsid w:val="00C47728"/>
    <w:rsid w:val="00C51707"/>
    <w:rsid w:val="00C90102"/>
    <w:rsid w:val="00C94F6B"/>
    <w:rsid w:val="00CA33D3"/>
    <w:rsid w:val="00CC21DC"/>
    <w:rsid w:val="00CF719D"/>
    <w:rsid w:val="00D13AFF"/>
    <w:rsid w:val="00D55BCA"/>
    <w:rsid w:val="00D77669"/>
    <w:rsid w:val="00DA568F"/>
    <w:rsid w:val="00DE5685"/>
    <w:rsid w:val="00DF5DD9"/>
    <w:rsid w:val="00E029EE"/>
    <w:rsid w:val="00E25D50"/>
    <w:rsid w:val="00E32F36"/>
    <w:rsid w:val="00E346BD"/>
    <w:rsid w:val="00E7751E"/>
    <w:rsid w:val="00E8738C"/>
    <w:rsid w:val="00E955C4"/>
    <w:rsid w:val="00E961A8"/>
    <w:rsid w:val="00EA4BB7"/>
    <w:rsid w:val="00EE7DBF"/>
    <w:rsid w:val="00EF675C"/>
    <w:rsid w:val="00F47496"/>
    <w:rsid w:val="00F73540"/>
    <w:rsid w:val="00F93AF8"/>
    <w:rsid w:val="00FA5A4A"/>
    <w:rsid w:val="00FA7C68"/>
    <w:rsid w:val="00FE2E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389EA"/>
  <w15:chartTrackingRefBased/>
  <w15:docId w15:val="{EEB792AE-F191-4D0B-81F6-5EFDFAFB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17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75F"/>
    <w:rPr>
      <w:rFonts w:ascii="Segoe UI" w:hAnsi="Segoe UI" w:cs="Segoe UI"/>
      <w:sz w:val="18"/>
      <w:szCs w:val="18"/>
    </w:rPr>
  </w:style>
  <w:style w:type="paragraph" w:styleId="FootnoteText">
    <w:name w:val="footnote text"/>
    <w:basedOn w:val="Normal"/>
    <w:link w:val="FootnoteTextChar"/>
    <w:uiPriority w:val="99"/>
    <w:semiHidden/>
    <w:unhideWhenUsed/>
    <w:rsid w:val="003411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11CE"/>
    <w:rPr>
      <w:sz w:val="20"/>
      <w:szCs w:val="20"/>
    </w:rPr>
  </w:style>
  <w:style w:type="character" w:styleId="FootnoteReference">
    <w:name w:val="footnote reference"/>
    <w:basedOn w:val="DefaultParagraphFont"/>
    <w:uiPriority w:val="99"/>
    <w:semiHidden/>
    <w:unhideWhenUsed/>
    <w:rsid w:val="003411CE"/>
    <w:rPr>
      <w:vertAlign w:val="superscript"/>
    </w:rPr>
  </w:style>
  <w:style w:type="paragraph" w:styleId="Header">
    <w:name w:val="header"/>
    <w:basedOn w:val="Normal"/>
    <w:link w:val="HeaderChar"/>
    <w:uiPriority w:val="99"/>
    <w:unhideWhenUsed/>
    <w:rsid w:val="00E346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6BD"/>
  </w:style>
  <w:style w:type="paragraph" w:styleId="Footer">
    <w:name w:val="footer"/>
    <w:basedOn w:val="Normal"/>
    <w:link w:val="FooterChar"/>
    <w:uiPriority w:val="99"/>
    <w:unhideWhenUsed/>
    <w:rsid w:val="00E346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6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6BC7E-932F-4116-9189-F0394B4EC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3009</Words>
  <Characters>17155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Wallin</dc:creator>
  <cp:keywords/>
  <dc:description/>
  <cp:lastModifiedBy>Paul Crook</cp:lastModifiedBy>
  <cp:revision>2</cp:revision>
  <cp:lastPrinted>2018-04-23T04:01:00Z</cp:lastPrinted>
  <dcterms:created xsi:type="dcterms:W3CDTF">2018-04-24T03:54:00Z</dcterms:created>
  <dcterms:modified xsi:type="dcterms:W3CDTF">2018-04-24T03:54:00Z</dcterms:modified>
</cp:coreProperties>
</file>