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CCABF2" w14:textId="77777777" w:rsidR="009B5A2A" w:rsidRDefault="007B2027" w:rsidP="00844B82">
      <w:pPr>
        <w:jc w:val="center"/>
        <w:rPr>
          <w:b/>
        </w:rPr>
      </w:pPr>
      <w:bookmarkStart w:id="0" w:name="_GoBack"/>
      <w:bookmarkEnd w:id="0"/>
      <w:r w:rsidRPr="00844B82">
        <w:rPr>
          <w:b/>
        </w:rPr>
        <w:t>Hilaire Belloc</w:t>
      </w:r>
      <w:r w:rsidR="00D02981">
        <w:rPr>
          <w:b/>
        </w:rPr>
        <w:t>: Catholic Crusader and</w:t>
      </w:r>
      <w:r w:rsidR="004745F4">
        <w:rPr>
          <w:b/>
        </w:rPr>
        <w:t xml:space="preserve"> the Crisis of Civilisation</w:t>
      </w:r>
    </w:p>
    <w:p w14:paraId="7BD453C2" w14:textId="48C68BD0" w:rsidR="009B5A2A" w:rsidRDefault="009B5A2A" w:rsidP="009B5A2A">
      <w:pPr>
        <w:rPr>
          <w:b/>
        </w:rPr>
      </w:pPr>
      <w:r>
        <w:rPr>
          <w:b/>
        </w:rPr>
        <w:t>Who Was Hilaire Belloc?</w:t>
      </w:r>
    </w:p>
    <w:p w14:paraId="03EE7498" w14:textId="2E1B9CCA" w:rsidR="009B5A2A" w:rsidRDefault="00226B69" w:rsidP="009B5A2A">
      <w:r>
        <w:t>Hilaire Belloc (1870-1953) was a prodigiously talented, larger than life character, one of the greats of his time, almost as well known as authors like Bernard Shaw, G. K. Chesterton, Ronald Knox and politicians such as Lloyd Ge</w:t>
      </w:r>
      <w:r w:rsidR="00A7702C">
        <w:t>o</w:t>
      </w:r>
      <w:r>
        <w:t>rge.</w:t>
      </w:r>
      <w:r w:rsidR="00A7702C">
        <w:t xml:space="preserve"> He wrote over 150 books of essays, commentaries on the time, journalism, fiction, history, biography, poetry, children’s literature and comic verse: much of it to ward off penury. He was a legendary walker, crossing much of America to court his future wife</w:t>
      </w:r>
      <w:r w:rsidR="00957572">
        <w:t>,</w:t>
      </w:r>
      <w:r w:rsidR="00A7702C">
        <w:t xml:space="preserve"> and </w:t>
      </w:r>
      <w:r w:rsidR="00146145">
        <w:t>trudging</w:t>
      </w:r>
      <w:r w:rsidR="00A7702C">
        <w:t xml:space="preserve"> on a pilgrimage from Paris to Rome in snow and ice</w:t>
      </w:r>
      <w:r w:rsidR="00957572">
        <w:t xml:space="preserve"> (described in his popular book </w:t>
      </w:r>
      <w:r w:rsidR="00957572">
        <w:rPr>
          <w:i/>
        </w:rPr>
        <w:t>The Path to Rome</w:t>
      </w:r>
      <w:r w:rsidR="0078416A">
        <w:t>, 1912</w:t>
      </w:r>
      <w:r w:rsidR="00146145">
        <w:t>).</w:t>
      </w:r>
      <w:r w:rsidR="00A7702C">
        <w:t xml:space="preserve"> </w:t>
      </w:r>
      <w:r w:rsidR="00B804E1">
        <w:t xml:space="preserve">He was a political commentator and, briefly, a politician (1906-10), brilliant orator and debater, as well as lover of food and wine. </w:t>
      </w:r>
      <w:r w:rsidR="00A7702C">
        <w:t xml:space="preserve">He wrote </w:t>
      </w:r>
      <w:r w:rsidR="008F4973">
        <w:t>several</w:t>
      </w:r>
      <w:r w:rsidR="00A7702C">
        <w:t xml:space="preserve"> major political tracts, </w:t>
      </w:r>
      <w:r w:rsidR="00C45B4C">
        <w:t xml:space="preserve">perhaps the best known being his early work </w:t>
      </w:r>
      <w:r w:rsidR="00C45B4C">
        <w:rPr>
          <w:i/>
        </w:rPr>
        <w:t>The Servile State</w:t>
      </w:r>
      <w:r w:rsidR="00C45B4C">
        <w:t xml:space="preserve"> (1912), whose title introduced a new phrase into the political discourse, and </w:t>
      </w:r>
      <w:r w:rsidR="00C45B4C">
        <w:rPr>
          <w:i/>
        </w:rPr>
        <w:t xml:space="preserve">The Crisis of Civilization </w:t>
      </w:r>
      <w:r w:rsidR="00C45B4C">
        <w:t>(1934, which I will look at in a moment.</w:t>
      </w:r>
      <w:r w:rsidR="00B804E1">
        <w:t xml:space="preserve"> In many ways he led a tragic life. </w:t>
      </w:r>
      <w:r w:rsidR="00490727">
        <w:t>His father, a French solicitor, died when Hilaire was two</w:t>
      </w:r>
      <w:r w:rsidR="00A016CE">
        <w:t>,</w:t>
      </w:r>
      <w:r w:rsidR="00490727">
        <w:t xml:space="preserve"> after the family fled to England from Paris on the outbreak of the Franco-Prussian war</w:t>
      </w:r>
      <w:r w:rsidR="008F4973">
        <w:t xml:space="preserve">, soon after his birth. His mother, the suffragette daughter of the well-known radical lawyer “Joseph Parkes of Birmingham”, managed to lose most of her considerable inheritance, and Hilaire was never financially secure. </w:t>
      </w:r>
      <w:r w:rsidR="00B804E1">
        <w:t>His beloved wife Elod</w:t>
      </w:r>
      <w:r w:rsidR="00957572">
        <w:t>ie</w:t>
      </w:r>
      <w:r w:rsidR="00B804E1">
        <w:t xml:space="preserve"> died in 1914. He wore black for the rest of his life. He</w:t>
      </w:r>
      <w:r w:rsidR="0055412C">
        <w:t xml:space="preserve"> </w:t>
      </w:r>
      <w:r w:rsidR="00B804E1">
        <w:t>lost sons in both the world wars</w:t>
      </w:r>
      <w:r w:rsidR="0055412C">
        <w:t xml:space="preserve"> and his life was to end in loneliness and </w:t>
      </w:r>
      <w:r w:rsidR="0078416A">
        <w:t>dementia</w:t>
      </w:r>
      <w:r w:rsidR="0055412C">
        <w:t>.</w:t>
      </w:r>
    </w:p>
    <w:p w14:paraId="61D954FB" w14:textId="0693577D" w:rsidR="00DC3780" w:rsidRDefault="008F4973" w:rsidP="009B5A2A">
      <w:r>
        <w:t xml:space="preserve">His personality was </w:t>
      </w:r>
      <w:r w:rsidR="00713ACB">
        <w:t>flamboyant</w:t>
      </w:r>
      <w:r>
        <w:t xml:space="preserve"> if somewhat manic-depressive</w:t>
      </w:r>
      <w:r w:rsidR="00713ACB">
        <w:t>, with identity problems</w:t>
      </w:r>
      <w:r w:rsidR="0078416A">
        <w:t>. He was</w:t>
      </w:r>
      <w:r w:rsidR="00713ACB">
        <w:t xml:space="preserve"> not regarded as totally English in England, or French in France, </w:t>
      </w:r>
      <w:r w:rsidR="00146145">
        <w:t xml:space="preserve">and he had </w:t>
      </w:r>
      <w:r w:rsidR="00713ACB">
        <w:t>a love-hate relationship to both cultures. He was handsome, physically robust and athletic: “… he looked more the traditional figure of John Bull than any Englishman could. He wore a stand-up collar several sizes too large for him. His rotund head was crowned with a black hat… and a typically British great-coat draped his beefy form except in the warmest weather”.</w:t>
      </w:r>
      <w:r w:rsidR="00A7032A">
        <w:rPr>
          <w:rStyle w:val="FootnoteReference"/>
        </w:rPr>
        <w:footnoteReference w:id="1"/>
      </w:r>
      <w:r w:rsidR="00DC3780">
        <w:t xml:space="preserve"> </w:t>
      </w:r>
    </w:p>
    <w:p w14:paraId="7998C6A8" w14:textId="0CBB08D9" w:rsidR="001B10F5" w:rsidRDefault="00DC3780" w:rsidP="009B5A2A">
      <w:r>
        <w:t>He was educated at the Oratory School, Birmingham, and Balliol College, Oxford, where he starred in debates at the Oxford Union. Despite graduating with firsts</w:t>
      </w:r>
      <w:r w:rsidR="005B7D23">
        <w:t>,</w:t>
      </w:r>
      <w:r>
        <w:t xml:space="preserve"> he was denied a fellowship to All Souls College, which he put down to his outspoken views and Catholicism: </w:t>
      </w:r>
      <w:r w:rsidR="005B7D23">
        <w:t>“</w:t>
      </w:r>
      <w:r>
        <w:t xml:space="preserve">He took this disappointment very hard, and thereafter lost no opportunity to mock and ridicule ‘dons’ and ‘pedants’, just as the loss of family money lay behind his attacks </w:t>
      </w:r>
      <w:r w:rsidR="00534193">
        <w:t>on</w:t>
      </w:r>
      <w:r>
        <w:t xml:space="preserve"> the ‘rich’, though he enjoyed the company of rich people and was always ready to cultivate them”(Oxford DNB).</w:t>
      </w:r>
      <w:r w:rsidR="005B7D23">
        <w:t xml:space="preserve"> He thereafter scraped a living as a freelance journalist and </w:t>
      </w:r>
      <w:r w:rsidR="001234A7">
        <w:t>man of letters</w:t>
      </w:r>
      <w:r w:rsidR="005B7D23">
        <w:t xml:space="preserve">. From 1899 he, Elodie and their growing family (they were to have five children) moved to Cheyne Walk, Chelsea (the same street that Thomas Carlyle had lived in). </w:t>
      </w:r>
      <w:r w:rsidR="00F26631">
        <w:t>Hilaire</w:t>
      </w:r>
      <w:r w:rsidR="005B7D23">
        <w:t xml:space="preserve"> was to write vivid books of travel, including a best-selling solo sailing memoir </w:t>
      </w:r>
      <w:r w:rsidR="004964EB">
        <w:rPr>
          <w:i/>
        </w:rPr>
        <w:t>The Cruise of the ‘Nona’</w:t>
      </w:r>
      <w:r w:rsidR="004964EB">
        <w:t xml:space="preserve"> (1925)</w:t>
      </w:r>
      <w:r w:rsidR="005B7D23">
        <w:t>. He wrote</w:t>
      </w:r>
      <w:r w:rsidR="004964EB">
        <w:t xml:space="preserve"> on</w:t>
      </w:r>
      <w:r w:rsidR="005B7D23">
        <w:t xml:space="preserve"> military history</w:t>
      </w:r>
      <w:r w:rsidR="004964EB">
        <w:t>, the history of Europe</w:t>
      </w:r>
      <w:r w:rsidR="000E2DAE">
        <w:t>, England</w:t>
      </w:r>
      <w:r w:rsidR="004964EB">
        <w:t xml:space="preserve"> and contemporary politics</w:t>
      </w:r>
      <w:r w:rsidR="00F26631">
        <w:t>, and much else</w:t>
      </w:r>
      <w:r w:rsidR="004964EB">
        <w:t>. Elected Liberal MP for South Salford in 1906 (the year he and his family shifted to Sussex), he became a disillusioned maverick, and left politics</w:t>
      </w:r>
      <w:r w:rsidR="000E2DAE">
        <w:t xml:space="preserve"> in 1910. He was</w:t>
      </w:r>
      <w:r w:rsidR="001B10F5">
        <w:t xml:space="preserve"> loudly indignant</w:t>
      </w:r>
      <w:r w:rsidR="000E2DAE">
        <w:t xml:space="preserve"> journalistically about</w:t>
      </w:r>
      <w:r w:rsidR="004964EB">
        <w:t xml:space="preserve"> the notorious Marconi scandal that rocked the Liberals in 1913.</w:t>
      </w:r>
      <w:r w:rsidR="00371D05">
        <w:t xml:space="preserve"> </w:t>
      </w:r>
    </w:p>
    <w:p w14:paraId="10FE7947" w14:textId="09DEAFAD" w:rsidR="008F4973" w:rsidRDefault="00371D05" w:rsidP="009B5A2A">
      <w:r>
        <w:t xml:space="preserve">From the early 1900s he and Chesterton formed a lifetime journalistic partnership (running journals such as </w:t>
      </w:r>
      <w:r>
        <w:rPr>
          <w:i/>
        </w:rPr>
        <w:t>G. K’s Weekly</w:t>
      </w:r>
      <w:r>
        <w:t xml:space="preserve">), dedicated to causes such as “distributism”, a backward-looking, even romantic, movement wanting a return to small-scale, medieval type ownership of property and </w:t>
      </w:r>
      <w:r>
        <w:lastRenderedPageBreak/>
        <w:t xml:space="preserve">business. </w:t>
      </w:r>
      <w:r w:rsidR="001B10F5">
        <w:t xml:space="preserve">In the </w:t>
      </w:r>
      <w:r w:rsidR="00CA72EB">
        <w:t>1</w:t>
      </w:r>
      <w:r w:rsidR="001B10F5">
        <w:t>920s h</w:t>
      </w:r>
      <w:r w:rsidR="000E2DAE">
        <w:t xml:space="preserve">e was to have a running war with H. G. Wells, over what Hilaire regarded as H. G’s </w:t>
      </w:r>
      <w:r w:rsidR="001B10F5">
        <w:t>grossly</w:t>
      </w:r>
      <w:r w:rsidR="000E2DAE">
        <w:t xml:space="preserve"> secular and simplistic </w:t>
      </w:r>
      <w:r w:rsidR="00CA72EB">
        <w:rPr>
          <w:i/>
        </w:rPr>
        <w:t xml:space="preserve">Outline of </w:t>
      </w:r>
      <w:r w:rsidR="00CA72EB" w:rsidRPr="00CA72EB">
        <w:rPr>
          <w:i/>
        </w:rPr>
        <w:t>History</w:t>
      </w:r>
      <w:r w:rsidR="00F96D29">
        <w:rPr>
          <w:i/>
        </w:rPr>
        <w:t xml:space="preserve"> </w:t>
      </w:r>
      <w:r w:rsidR="00F96D29">
        <w:t>(1920).</w:t>
      </w:r>
      <w:r w:rsidR="000E2DAE">
        <w:t xml:space="preserve"> Belloc in turn was to be accused of anti-Semitism in his history of the Jews and other writings, still a controversial issue among Belloc scholars.</w:t>
      </w:r>
      <w:r w:rsidR="004964EB">
        <w:t xml:space="preserve"> </w:t>
      </w:r>
    </w:p>
    <w:p w14:paraId="03378697" w14:textId="08F6C87E" w:rsidR="00371D05" w:rsidRDefault="00371D05" w:rsidP="009B5A2A">
      <w:r>
        <w:t>Most famously, as Bernard Bergonzi points out, Hilaire became known as a “polemical apologist” for the Catholic Church “which he regarded as the only source of sanity and order in the world.</w:t>
      </w:r>
      <w:r w:rsidR="007A0197">
        <w:t xml:space="preserve"> </w:t>
      </w:r>
      <w:r>
        <w:t>He was an important influence on the small Roman Catholic community in England, giving them a new self-confidence, insisting that though they might seem to be a vulnerable minority in an offshore protestant island they were really part of the universal church</w:t>
      </w:r>
      <w:r w:rsidR="007A0197">
        <w:t xml:space="preserve"> with its centre in </w:t>
      </w:r>
      <w:r w:rsidR="00146145">
        <w:t>Rome” (</w:t>
      </w:r>
      <w:r w:rsidR="007A0197">
        <w:rPr>
          <w:i/>
        </w:rPr>
        <w:t>Oxford DNB</w:t>
      </w:r>
      <w:r w:rsidR="007A0197">
        <w:t>).</w:t>
      </w:r>
      <w:r>
        <w:t xml:space="preserve"> </w:t>
      </w:r>
    </w:p>
    <w:p w14:paraId="057D9A94" w14:textId="27BE7925" w:rsidR="001B10F5" w:rsidRPr="001B10F5" w:rsidRDefault="001B10F5" w:rsidP="009B5A2A">
      <w:r w:rsidRPr="001B10F5">
        <w:rPr>
          <w:b/>
          <w:i/>
        </w:rPr>
        <w:t>The Crisis of Civilization</w:t>
      </w:r>
    </w:p>
    <w:p w14:paraId="2B8CFEAA" w14:textId="46E021F2" w:rsidR="00FA7309" w:rsidRDefault="001B10F5" w:rsidP="00FA7309">
      <w:r>
        <w:t>Be</w:t>
      </w:r>
      <w:r w:rsidR="00FA7309">
        <w:t xml:space="preserve">lloc’s book </w:t>
      </w:r>
      <w:r w:rsidR="00FA7309">
        <w:rPr>
          <w:i/>
        </w:rPr>
        <w:t>The Crisis of Civilization</w:t>
      </w:r>
      <w:r w:rsidR="00FA7309">
        <w:t xml:space="preserve"> (1937) gave a detailed account of the transition from medieval Christendom to what he believed was a </w:t>
      </w:r>
      <w:r w:rsidR="00DE1B71">
        <w:t xml:space="preserve">modern </w:t>
      </w:r>
      <w:r w:rsidR="00FA7309">
        <w:t>civilisation in severe decline.</w:t>
      </w:r>
      <w:r w:rsidR="00A7032A">
        <w:rPr>
          <w:rStyle w:val="FootnoteReference"/>
        </w:rPr>
        <w:footnoteReference w:id="2"/>
      </w:r>
      <w:r w:rsidR="00FA7309">
        <w:t xml:space="preserve"> He gave many reasons for this, the main ones being the rise of capitalism and the disruption to Christian unity caused by the Reformation. As Belloc puts it:</w:t>
      </w:r>
    </w:p>
    <w:p w14:paraId="5B1279C0" w14:textId="77777777" w:rsidR="00FA7309" w:rsidRDefault="00FA7309" w:rsidP="00FA7309">
      <w:r>
        <w:t xml:space="preserve">“The unity of Western Civilization was wrecked by the explosion which we call the Reformation. Slowly, as the dust subsided and we were able to survey the ruins, we could perceive certain consequences emerging. There being no longer </w:t>
      </w:r>
      <w:r w:rsidR="005D7EE1">
        <w:t>any common moral authority nor a common moral tradition sufficiently vigorous</w:t>
      </w:r>
      <w:r w:rsidR="00BA2967">
        <w:t xml:space="preserve"> to restrain the coming evils, they grow apace and the first of them was the creation of a Proletariat” (p.175).</w:t>
      </w:r>
    </w:p>
    <w:p w14:paraId="6ED5AB37" w14:textId="77777777" w:rsidR="00BA2967" w:rsidRDefault="00BA2967" w:rsidP="00FA7309">
      <w:r>
        <w:t>There had been a proletariat of sorts, unlike their fellows deprived of property and therefore of security of livelihood, in a few commercial centres. This situation immensely worsened with the related phenomena of growing capitalism and the Reformation. As Belloc lamented, in England the “sudden enrichment of a new class which battened on the spoil of all collegiate property – hospitals, and schools as well as monastic establishments and religious endowments of all kinds [created]</w:t>
      </w:r>
      <w:r w:rsidR="00D26DE8">
        <w:t xml:space="preserve"> a Proletariat… even </w:t>
      </w:r>
      <w:r w:rsidR="00D26DE8">
        <w:rPr>
          <w:i/>
        </w:rPr>
        <w:t>upon the land</w:t>
      </w:r>
      <w:r w:rsidR="00D26DE8">
        <w:t xml:space="preserve"> …this agricultural proletariat was the source, model and breeding ground of the urban proletariat that was to follow “(p. 176).</w:t>
      </w:r>
    </w:p>
    <w:p w14:paraId="16164F79" w14:textId="77777777" w:rsidR="00D26DE8" w:rsidRDefault="00D26DE8" w:rsidP="00FA7309">
      <w:r>
        <w:t>By the time of the English Civil War, in which large numbers of the old religion were killed off or ruined, the country “had lost her old economic and ethical philosophy which was to produce the modern industrial world”. Most of the old economically free peasants disappeared, forced to be agricultural labourers and wage earners, dependent upon a small class of land owners. Dependency worsened with the expansion of overseas commerce and banking, creating a new monied class with</w:t>
      </w:r>
      <w:r w:rsidR="00F66FA4">
        <w:t xml:space="preserve"> a great deal of power and control. </w:t>
      </w:r>
      <w:r w:rsidR="009872A1">
        <w:t>The situation was worsened by the invention of new machinery (such as the steam engine, leading to a factory system) and a communications revolution.</w:t>
      </w:r>
      <w:r>
        <w:t xml:space="preserve"> </w:t>
      </w:r>
    </w:p>
    <w:p w14:paraId="70F39D69" w14:textId="77777777" w:rsidR="00200621" w:rsidRDefault="00DE1B71" w:rsidP="00FA7309">
      <w:r>
        <w:t>With this change in material conditions went a spiritual and moral decline. People were confused, doubting the certitude of their religion: “The quality of Faith was lost, or rather faded. It grew less and less operative as time went on… With that loss went the loss of the social guarantees which the old religion had bred. Usury and excessive universal competition, for instance, came to be taken for granted throughout our society. Under these</w:t>
      </w:r>
      <w:r w:rsidR="006B6B01">
        <w:t xml:space="preserve"> conditions it was presumable that small property would decay and wage-slavery take its place whenever the conditions were favourable” (pp.177-178). The pendulum swing of history meant that resistance movements would arise against </w:t>
      </w:r>
      <w:r w:rsidR="006B6B01">
        <w:lastRenderedPageBreak/>
        <w:t xml:space="preserve">capitalism. These included </w:t>
      </w:r>
      <w:r w:rsidR="00200621">
        <w:t>g</w:t>
      </w:r>
      <w:r w:rsidR="006B6B01">
        <w:t>radualist reform movements, such as moderate socialism, Fabianism and Labourism. But there would also arise revolutionary movements such as communism, which Belloc detested as bellicosely atheistic.</w:t>
      </w:r>
    </w:p>
    <w:p w14:paraId="4CEAB7C9" w14:textId="77777777" w:rsidR="00DE1B71" w:rsidRPr="00D26DE8" w:rsidRDefault="006B6B01" w:rsidP="00FA7309">
      <w:r>
        <w:t xml:space="preserve">In the final part of his book Belloc puts forward the remedy of returning to Christian things. </w:t>
      </w:r>
      <w:r w:rsidR="00023BB2">
        <w:t xml:space="preserve">He proposed remedies that had in fact floated around for some time in social reform circles, remedies such as the resurrection of guilds; the creation of self-governing businesses on the cooperative line with members being also owners or shareholders, thus shielding the poor from the effects of unbridled competition; a guarantee of a living wage; and a system of differential taxation that would enable a wholesale redistribution of property. He urged (in fellowship with people like G. K. Chesterton) this theory of “distributism” for the rest of his life. </w:t>
      </w:r>
      <w:r w:rsidR="00200621">
        <w:t xml:space="preserve"> Needless to say, this</w:t>
      </w:r>
      <w:r w:rsidR="00023BB2">
        <w:t xml:space="preserve"> has not eventuated, and the evils he predicted have in many ways got even worse in our own age.</w:t>
      </w:r>
    </w:p>
    <w:p w14:paraId="6399708F" w14:textId="77777777" w:rsidR="00844B82" w:rsidRPr="00844B82" w:rsidRDefault="00844B82" w:rsidP="00844B82"/>
    <w:sectPr w:rsidR="00844B82" w:rsidRPr="00844B8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0EF233" w14:textId="77777777" w:rsidR="004D3268" w:rsidRDefault="004D3268" w:rsidP="00A7032A">
      <w:pPr>
        <w:spacing w:after="0" w:line="240" w:lineRule="auto"/>
      </w:pPr>
      <w:r>
        <w:separator/>
      </w:r>
    </w:p>
  </w:endnote>
  <w:endnote w:type="continuationSeparator" w:id="0">
    <w:p w14:paraId="148ACAAB" w14:textId="77777777" w:rsidR="004D3268" w:rsidRDefault="004D3268" w:rsidP="00A703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6C0BB0" w14:textId="77777777" w:rsidR="004D3268" w:rsidRDefault="004D3268" w:rsidP="00A7032A">
      <w:pPr>
        <w:spacing w:after="0" w:line="240" w:lineRule="auto"/>
      </w:pPr>
      <w:r>
        <w:separator/>
      </w:r>
    </w:p>
  </w:footnote>
  <w:footnote w:type="continuationSeparator" w:id="0">
    <w:p w14:paraId="10C6A1AD" w14:textId="77777777" w:rsidR="004D3268" w:rsidRDefault="004D3268" w:rsidP="00A7032A">
      <w:pPr>
        <w:spacing w:after="0" w:line="240" w:lineRule="auto"/>
      </w:pPr>
      <w:r>
        <w:continuationSeparator/>
      </w:r>
    </w:p>
  </w:footnote>
  <w:footnote w:id="1">
    <w:p w14:paraId="148945BE" w14:textId="495E2FFC" w:rsidR="0078416A" w:rsidRDefault="00A7032A">
      <w:pPr>
        <w:pStyle w:val="FootnoteText"/>
      </w:pPr>
      <w:r>
        <w:rPr>
          <w:rStyle w:val="FootnoteReference"/>
        </w:rPr>
        <w:footnoteRef/>
      </w:r>
      <w:r>
        <w:t xml:space="preserve"> “Hilaire Belloc”, </w:t>
      </w:r>
      <w:r>
        <w:rPr>
          <w:i/>
        </w:rPr>
        <w:t>Catholic Authors.com</w:t>
      </w:r>
      <w:r>
        <w:t xml:space="preserve">, p.1. For biographical information I have drawn </w:t>
      </w:r>
      <w:r w:rsidR="001234A7">
        <w:t>up</w:t>
      </w:r>
      <w:r>
        <w:t xml:space="preserve">on Bernard Bergonzi’s entry on Belloc in the </w:t>
      </w:r>
      <w:r>
        <w:rPr>
          <w:i/>
        </w:rPr>
        <w:t>Oxford Dictionary of National Biography</w:t>
      </w:r>
      <w:r>
        <w:t xml:space="preserve">, and </w:t>
      </w:r>
      <w:r w:rsidR="00525F0A">
        <w:t xml:space="preserve">Joseph Pearce, </w:t>
      </w:r>
      <w:r w:rsidR="00525F0A">
        <w:rPr>
          <w:i/>
        </w:rPr>
        <w:t xml:space="preserve">Old Thunder: A Life of Hilaire Belloc </w:t>
      </w:r>
      <w:r w:rsidR="00525F0A">
        <w:t>(Tan Books, Charlotte, NC, 2015).</w:t>
      </w:r>
      <w:r w:rsidR="0078416A">
        <w:t xml:space="preserve"> Among his works are the very popular humorous poems </w:t>
      </w:r>
    </w:p>
    <w:p w14:paraId="4CAC19F6" w14:textId="394022A9" w:rsidR="00A7032A" w:rsidRPr="0078416A" w:rsidRDefault="0078416A">
      <w:pPr>
        <w:pStyle w:val="FootnoteText"/>
      </w:pPr>
      <w:r>
        <w:rPr>
          <w:i/>
        </w:rPr>
        <w:t xml:space="preserve">Cautionary Tales for Children </w:t>
      </w:r>
      <w:r>
        <w:t xml:space="preserve">(1907) and </w:t>
      </w:r>
      <w:r w:rsidR="001234A7">
        <w:t xml:space="preserve">his </w:t>
      </w:r>
      <w:r>
        <w:t xml:space="preserve">pilgrimage account </w:t>
      </w:r>
      <w:r>
        <w:rPr>
          <w:i/>
        </w:rPr>
        <w:t>The Path to Rome</w:t>
      </w:r>
      <w:r>
        <w:t xml:space="preserve"> (1912); </w:t>
      </w:r>
      <w:r>
        <w:rPr>
          <w:i/>
        </w:rPr>
        <w:t xml:space="preserve">The Servile State </w:t>
      </w:r>
      <w:r>
        <w:t xml:space="preserve">(1912); </w:t>
      </w:r>
      <w:r>
        <w:rPr>
          <w:i/>
        </w:rPr>
        <w:t>Europe and Faith</w:t>
      </w:r>
      <w:r>
        <w:t xml:space="preserve"> (1920); </w:t>
      </w:r>
      <w:r>
        <w:rPr>
          <w:i/>
        </w:rPr>
        <w:t>The Jews</w:t>
      </w:r>
      <w:r>
        <w:t xml:space="preserve"> (1922); and biographies of Cromwell, James II and Napoleon. </w:t>
      </w:r>
    </w:p>
  </w:footnote>
  <w:footnote w:id="2">
    <w:p w14:paraId="0AF90D83" w14:textId="7F5710C9" w:rsidR="00A7032A" w:rsidRPr="00A7032A" w:rsidRDefault="00A7032A">
      <w:pPr>
        <w:pStyle w:val="FootnoteText"/>
      </w:pPr>
      <w:r>
        <w:rPr>
          <w:rStyle w:val="FootnoteReference"/>
        </w:rPr>
        <w:footnoteRef/>
      </w:r>
      <w:r>
        <w:t xml:space="preserve"> Hilaire Belloc, </w:t>
      </w:r>
      <w:r>
        <w:rPr>
          <w:i/>
        </w:rPr>
        <w:t>The Crisis of Civilization</w:t>
      </w:r>
      <w:r>
        <w:t xml:space="preserve"> (</w:t>
      </w:r>
      <w:r w:rsidR="00AD6397">
        <w:t xml:space="preserve">New York, </w:t>
      </w:r>
      <w:r>
        <w:t>1937; reprint Westport, Conn., Greenwood Press, 1973). Quotes are from this reprint.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27"/>
    <w:rsid w:val="00023BB2"/>
    <w:rsid w:val="000E2DAE"/>
    <w:rsid w:val="001234A7"/>
    <w:rsid w:val="00146145"/>
    <w:rsid w:val="001B10F5"/>
    <w:rsid w:val="001D4EFD"/>
    <w:rsid w:val="00200621"/>
    <w:rsid w:val="00215710"/>
    <w:rsid w:val="00226B69"/>
    <w:rsid w:val="00371D05"/>
    <w:rsid w:val="004745F4"/>
    <w:rsid w:val="00490727"/>
    <w:rsid w:val="004964EB"/>
    <w:rsid w:val="004D3268"/>
    <w:rsid w:val="00525F0A"/>
    <w:rsid w:val="00534193"/>
    <w:rsid w:val="0055412C"/>
    <w:rsid w:val="00567FA7"/>
    <w:rsid w:val="005B7D23"/>
    <w:rsid w:val="005D7EE1"/>
    <w:rsid w:val="005E78A6"/>
    <w:rsid w:val="006B6B01"/>
    <w:rsid w:val="00713ACB"/>
    <w:rsid w:val="0076528C"/>
    <w:rsid w:val="0078416A"/>
    <w:rsid w:val="007A0197"/>
    <w:rsid w:val="007A76BF"/>
    <w:rsid w:val="007B2027"/>
    <w:rsid w:val="00844B82"/>
    <w:rsid w:val="008F4973"/>
    <w:rsid w:val="00957572"/>
    <w:rsid w:val="009872A1"/>
    <w:rsid w:val="009B5A2A"/>
    <w:rsid w:val="009F1FA7"/>
    <w:rsid w:val="00A016CE"/>
    <w:rsid w:val="00A7032A"/>
    <w:rsid w:val="00A7702C"/>
    <w:rsid w:val="00AA1D85"/>
    <w:rsid w:val="00AD6397"/>
    <w:rsid w:val="00B804E1"/>
    <w:rsid w:val="00BA2967"/>
    <w:rsid w:val="00C45B4C"/>
    <w:rsid w:val="00C830D3"/>
    <w:rsid w:val="00CA72EB"/>
    <w:rsid w:val="00CF0B7D"/>
    <w:rsid w:val="00D02981"/>
    <w:rsid w:val="00D26DE8"/>
    <w:rsid w:val="00DC3780"/>
    <w:rsid w:val="00DE1B71"/>
    <w:rsid w:val="00DE25BC"/>
    <w:rsid w:val="00E050B3"/>
    <w:rsid w:val="00EF5C56"/>
    <w:rsid w:val="00F26631"/>
    <w:rsid w:val="00F66FA4"/>
    <w:rsid w:val="00F96D29"/>
    <w:rsid w:val="00FA73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695F9"/>
  <w15:chartTrackingRefBased/>
  <w15:docId w15:val="{204D8367-C935-4EFD-9582-32FB5DB21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7032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032A"/>
    <w:rPr>
      <w:sz w:val="20"/>
      <w:szCs w:val="20"/>
    </w:rPr>
  </w:style>
  <w:style w:type="character" w:styleId="FootnoteReference">
    <w:name w:val="footnote reference"/>
    <w:basedOn w:val="DefaultParagraphFont"/>
    <w:uiPriority w:val="99"/>
    <w:semiHidden/>
    <w:unhideWhenUsed/>
    <w:rsid w:val="00A703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063A3-CF08-4295-944B-92798ECC1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1246</Words>
  <Characters>7105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Ann Wallin</cp:lastModifiedBy>
  <cp:revision>2</cp:revision>
  <dcterms:created xsi:type="dcterms:W3CDTF">2018-04-11T05:05:00Z</dcterms:created>
  <dcterms:modified xsi:type="dcterms:W3CDTF">2018-04-11T05:05:00Z</dcterms:modified>
</cp:coreProperties>
</file>